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rPr>
      </w:pPr>
      <w:bookmarkStart w:colFirst="0" w:colLast="0" w:name="_2gazcsgmxkub" w:id="0"/>
      <w:bookmarkEnd w:id="0"/>
      <w:r w:rsidDel="00000000" w:rsidR="00000000" w:rsidRPr="00000000">
        <w:rPr>
          <w:rFonts w:ascii="Roboto" w:cs="Roboto" w:eastAsia="Roboto" w:hAnsi="Roboto"/>
          <w:color w:val="134f5c"/>
          <w:sz w:val="60"/>
          <w:szCs w:val="60"/>
          <w:rtl w:val="0"/>
        </w:rPr>
        <w:t xml:space="preserve">To Whom It May Concern Letter of Intent</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t xml:space="preserve">Director of Business Development</w:t>
        <w:br w:type="textWrapping"/>
        <w:t xml:space="preserve">Innovative Tech Solutions</w:t>
        <w:br w:type="textWrapping"/>
        <w:t xml:space="preserve">400 Tech Way</w:t>
        <w:br w:type="textWrapping"/>
        <w:t xml:space="preserve">Silicon Valley, CA, 94088</w:t>
        <w:br w:type="textWrapping"/>
        <w:t xml:space="preserve">janedoe@innovativetech.com</w:t>
        <w:br w:type="textWrapping"/>
        <w:t xml:space="preserve">650-555-1234</w:t>
        <w:br w:type="textWrapping"/>
        <w:t xml:space="preserve">November 8,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Whom It May Concern,</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express my formal intent regarding the initiation of a strategic partnership between Innovative Tech Solutions and your organization. My aim is to outline my interests and confirm my commitment to proceeding with the necessary steps to facilitate this collaborative project.</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Director of Business Development at Innovative Tech Solutions, I have gained substantial experience and insights into advanced tech development and market integration. I am particularly interested in exploring joint ventures that focus on combining our technological capabilities with your extensive distribution networks.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prepared to engage in further discussions and provide any necessary documentation to move forward with detailed project planning and resource allocation. Please let me know a convenient time for a meeting, or feel free to contact me at your earliest convenience so we can discuss this in more detail.</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intent. I look forward to the opportunity to work together and am excited about the prospects that our joint efforts may bring.</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[Jane Doe's Signature (if sending a hard copy)]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t xml:space="preserve">Director of Business Development</w:t>
        <w:br w:type="textWrapping"/>
        <w:t xml:space="preserve">Innovative Tech Solutions</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