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d44e4e"/>
          <w:sz w:val="60"/>
          <w:szCs w:val="60"/>
          <w:u w:val="single"/>
        </w:rPr>
      </w:pPr>
      <w:bookmarkStart w:colFirst="0" w:colLast="0" w:name="_hhevn0icya3z" w:id="0"/>
      <w:bookmarkEnd w:id="0"/>
      <w:r w:rsidDel="00000000" w:rsidR="00000000" w:rsidRPr="00000000">
        <w:rPr>
          <w:rFonts w:ascii="Roboto" w:cs="Roboto" w:eastAsia="Roboto" w:hAnsi="Roboto"/>
          <w:color w:val="d44e4e"/>
          <w:sz w:val="60"/>
          <w:szCs w:val="60"/>
          <w:u w:val="single"/>
          <w:rtl w:val="0"/>
        </w:rPr>
        <w:t xml:space="preserve">Project Description Generator</w:t>
      </w:r>
    </w:p>
    <w:p w:rsidR="00000000" w:rsidDel="00000000" w:rsidP="00000000" w:rsidRDefault="00000000" w:rsidRPr="00000000" w14:paraId="00000002">
      <w:pPr>
        <w:rPr>
          <w:sz w:val="10"/>
          <w:szCs w:val="10"/>
        </w:rPr>
      </w:pPr>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color w:val="333333"/>
        </w:rPr>
      </w:pPr>
      <w:bookmarkStart w:colFirst="0" w:colLast="0" w:name="_o9esulfx7bdq" w:id="1"/>
      <w:bookmarkEnd w:id="1"/>
      <w:r w:rsidDel="00000000" w:rsidR="00000000" w:rsidRPr="00000000">
        <w:rPr>
          <w:rFonts w:ascii="Arial" w:cs="Arial" w:eastAsia="Arial" w:hAnsi="Arial"/>
          <w:color w:val="333333"/>
          <w:rtl w:val="0"/>
        </w:rPr>
        <w:t xml:space="preserve">Project Title:</w:t>
      </w:r>
    </w:p>
    <w:p w:rsidR="00000000" w:rsidDel="00000000" w:rsidP="00000000" w:rsidRDefault="00000000" w:rsidRPr="00000000" w14:paraId="00000004">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Urban Green Space Revitalization Initiative</w:t>
      </w:r>
    </w:p>
    <w:p w:rsidR="00000000" w:rsidDel="00000000" w:rsidP="00000000" w:rsidRDefault="00000000" w:rsidRPr="00000000" w14:paraId="00000005">
      <w:pPr>
        <w:pStyle w:val="Heading3"/>
        <w:spacing w:after="80" w:before="280" w:line="360" w:lineRule="auto"/>
        <w:ind w:right="0"/>
        <w:rPr>
          <w:rFonts w:ascii="Arial" w:cs="Arial" w:eastAsia="Arial" w:hAnsi="Arial"/>
          <w:color w:val="333333"/>
        </w:rPr>
      </w:pPr>
      <w:bookmarkStart w:colFirst="0" w:colLast="0" w:name="_nrd4nv11r3hd" w:id="2"/>
      <w:bookmarkEnd w:id="2"/>
      <w:r w:rsidDel="00000000" w:rsidR="00000000" w:rsidRPr="00000000">
        <w:rPr>
          <w:rFonts w:ascii="Arial" w:cs="Arial" w:eastAsia="Arial" w:hAnsi="Arial"/>
          <w:color w:val="333333"/>
          <w:rtl w:val="0"/>
        </w:rPr>
        <w:t xml:space="preserve">Introduction/Background:</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Urban Green Space Revitalization Initiative is designed to address the increasing need for accessible and healthy recreational spaces in Downtown Metropolis. Recent studies have shown a significant decline in urban green areas, contributing to lower air quality and reduced quality of life for city residents. This project aims to rejuvenate neglected urban spaces, transforming them into vibrant, green, community-focused areas.</w:t>
      </w:r>
    </w:p>
    <w:p w:rsidR="00000000" w:rsidDel="00000000" w:rsidP="00000000" w:rsidRDefault="00000000" w:rsidRPr="00000000" w14:paraId="00000007">
      <w:pPr>
        <w:pStyle w:val="Heading3"/>
        <w:spacing w:after="80" w:before="280" w:line="360" w:lineRule="auto"/>
        <w:ind w:right="0"/>
        <w:rPr>
          <w:rFonts w:ascii="Arial" w:cs="Arial" w:eastAsia="Arial" w:hAnsi="Arial"/>
          <w:color w:val="333333"/>
        </w:rPr>
      </w:pPr>
      <w:bookmarkStart w:colFirst="0" w:colLast="0" w:name="_77udkkqx3eb4" w:id="3"/>
      <w:bookmarkEnd w:id="3"/>
      <w:r w:rsidDel="00000000" w:rsidR="00000000" w:rsidRPr="00000000">
        <w:rPr>
          <w:rFonts w:ascii="Arial" w:cs="Arial" w:eastAsia="Arial" w:hAnsi="Arial"/>
          <w:color w:val="333333"/>
          <w:rtl w:val="0"/>
        </w:rPr>
        <w:t xml:space="preserve">Objectives:</w:t>
      </w:r>
    </w:p>
    <w:p w:rsidR="00000000" w:rsidDel="00000000" w:rsidP="00000000" w:rsidRDefault="00000000" w:rsidRPr="00000000" w14:paraId="00000008">
      <w:pPr>
        <w:numPr>
          <w:ilvl w:val="0"/>
          <w:numId w:val="4"/>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transform three neglected urban areas into green spaces within two years.</w:t>
      </w:r>
    </w:p>
    <w:p w:rsidR="00000000" w:rsidDel="00000000" w:rsidP="00000000" w:rsidRDefault="00000000" w:rsidRPr="00000000" w14:paraId="00000009">
      <w:pPr>
        <w:numPr>
          <w:ilvl w:val="0"/>
          <w:numId w:val="4"/>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improve local air quality and provide new recreational opportunities for the community.</w:t>
      </w:r>
    </w:p>
    <w:p w:rsidR="00000000" w:rsidDel="00000000" w:rsidP="00000000" w:rsidRDefault="00000000" w:rsidRPr="00000000" w14:paraId="0000000A">
      <w:pPr>
        <w:numPr>
          <w:ilvl w:val="0"/>
          <w:numId w:val="4"/>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foster community engagement and awareness regarding environmental conservation.</w:t>
      </w:r>
    </w:p>
    <w:p w:rsidR="00000000" w:rsidDel="00000000" w:rsidP="00000000" w:rsidRDefault="00000000" w:rsidRPr="00000000" w14:paraId="0000000B">
      <w:pPr>
        <w:pStyle w:val="Heading3"/>
        <w:spacing w:after="80" w:before="280" w:line="360" w:lineRule="auto"/>
        <w:ind w:right="0"/>
        <w:rPr>
          <w:rFonts w:ascii="Arial" w:cs="Arial" w:eastAsia="Arial" w:hAnsi="Arial"/>
          <w:color w:val="333333"/>
        </w:rPr>
      </w:pPr>
      <w:bookmarkStart w:colFirst="0" w:colLast="0" w:name="_hywfd4i4lfc6" w:id="4"/>
      <w:bookmarkEnd w:id="4"/>
      <w:r w:rsidDel="00000000" w:rsidR="00000000" w:rsidRPr="00000000">
        <w:rPr>
          <w:rFonts w:ascii="Arial" w:cs="Arial" w:eastAsia="Arial" w:hAnsi="Arial"/>
          <w:color w:val="333333"/>
          <w:rtl w:val="0"/>
        </w:rPr>
        <w:t xml:space="preserve">Scope:</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project will focus on the planning, design, and implementation of green spaces in specified neglected urban areas, including:</w:t>
      </w:r>
    </w:p>
    <w:p w:rsidR="00000000" w:rsidDel="00000000" w:rsidP="00000000" w:rsidRDefault="00000000" w:rsidRPr="00000000" w14:paraId="0000000D">
      <w:pPr>
        <w:numPr>
          <w:ilvl w:val="0"/>
          <w:numId w:val="3"/>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The installation of native plants and trees.</w:t>
      </w:r>
    </w:p>
    <w:p w:rsidR="00000000" w:rsidDel="00000000" w:rsidP="00000000" w:rsidRDefault="00000000" w:rsidRPr="00000000" w14:paraId="0000000E">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The creation of walkways and seating areas.</w:t>
      </w:r>
    </w:p>
    <w:p w:rsidR="00000000" w:rsidDel="00000000" w:rsidP="00000000" w:rsidRDefault="00000000" w:rsidRPr="00000000" w14:paraId="0000000F">
      <w:pPr>
        <w:numPr>
          <w:ilvl w:val="0"/>
          <w:numId w:val="3"/>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Development of community gardens. Excluded from the scope are commercial developments and non-recreational infrastructure.</w:t>
      </w:r>
    </w:p>
    <w:p w:rsidR="00000000" w:rsidDel="00000000" w:rsidP="00000000" w:rsidRDefault="00000000" w:rsidRPr="00000000" w14:paraId="00000010">
      <w:pPr>
        <w:pStyle w:val="Heading3"/>
        <w:spacing w:after="80" w:before="280" w:line="360" w:lineRule="auto"/>
        <w:ind w:right="0"/>
        <w:rPr>
          <w:rFonts w:ascii="Arial" w:cs="Arial" w:eastAsia="Arial" w:hAnsi="Arial"/>
          <w:color w:val="333333"/>
        </w:rPr>
      </w:pPr>
      <w:bookmarkStart w:colFirst="0" w:colLast="0" w:name="_hsbow9uuph3z" w:id="5"/>
      <w:bookmarkEnd w:id="5"/>
      <w:r w:rsidDel="00000000" w:rsidR="00000000" w:rsidRPr="00000000">
        <w:rPr>
          <w:rFonts w:ascii="Arial" w:cs="Arial" w:eastAsia="Arial" w:hAnsi="Arial"/>
          <w:color w:val="333333"/>
          <w:rtl w:val="0"/>
        </w:rPr>
        <w:t xml:space="preserve">Methodology/Approach:</w:t>
      </w:r>
    </w:p>
    <w:p w:rsidR="00000000" w:rsidDel="00000000" w:rsidP="00000000" w:rsidRDefault="00000000" w:rsidRPr="00000000" w14:paraId="00000011">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approach will involve community consultation to ensure the green spaces meet local needs, followed by the engagement of landscape architects to design environmentally sustainable and accessible areas. The project will utilize eco-friendly materials and native plant species to promote biodiversity.</w:t>
      </w:r>
    </w:p>
    <w:p w:rsidR="00000000" w:rsidDel="00000000" w:rsidP="00000000" w:rsidRDefault="00000000" w:rsidRPr="00000000" w14:paraId="00000012">
      <w:pPr>
        <w:pStyle w:val="Heading3"/>
        <w:spacing w:after="80" w:before="280" w:line="360" w:lineRule="auto"/>
        <w:ind w:right="0"/>
        <w:rPr>
          <w:rFonts w:ascii="Arial" w:cs="Arial" w:eastAsia="Arial" w:hAnsi="Arial"/>
          <w:color w:val="333333"/>
        </w:rPr>
      </w:pPr>
      <w:bookmarkStart w:colFirst="0" w:colLast="0" w:name="_t4f5erngactd" w:id="6"/>
      <w:bookmarkEnd w:id="6"/>
      <w:r w:rsidDel="00000000" w:rsidR="00000000" w:rsidRPr="00000000">
        <w:rPr>
          <w:rFonts w:ascii="Arial" w:cs="Arial" w:eastAsia="Arial" w:hAnsi="Arial"/>
          <w:color w:val="333333"/>
          <w:rtl w:val="0"/>
        </w:rPr>
        <w:t xml:space="preserve">Timeline:</w:t>
      </w:r>
    </w:p>
    <w:p w:rsidR="00000000" w:rsidDel="00000000" w:rsidP="00000000" w:rsidRDefault="00000000" w:rsidRPr="00000000" w14:paraId="00000013">
      <w:pPr>
        <w:numPr>
          <w:ilvl w:val="0"/>
          <w:numId w:val="5"/>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Community Consultation:</w:t>
      </w:r>
      <w:r w:rsidDel="00000000" w:rsidR="00000000" w:rsidRPr="00000000">
        <w:rPr>
          <w:rFonts w:ascii="Arial" w:cs="Arial" w:eastAsia="Arial" w:hAnsi="Arial"/>
          <w:color w:val="333333"/>
          <w:sz w:val="24"/>
          <w:szCs w:val="24"/>
          <w:rtl w:val="0"/>
        </w:rPr>
        <w:t xml:space="preserve"> May 2024 - July 2024</w:t>
      </w:r>
    </w:p>
    <w:p w:rsidR="00000000" w:rsidDel="00000000" w:rsidP="00000000" w:rsidRDefault="00000000" w:rsidRPr="00000000" w14:paraId="00000014">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Design Phase:</w:t>
      </w:r>
      <w:r w:rsidDel="00000000" w:rsidR="00000000" w:rsidRPr="00000000">
        <w:rPr>
          <w:rFonts w:ascii="Arial" w:cs="Arial" w:eastAsia="Arial" w:hAnsi="Arial"/>
          <w:color w:val="333333"/>
          <w:sz w:val="24"/>
          <w:szCs w:val="24"/>
          <w:rtl w:val="0"/>
        </w:rPr>
        <w:t xml:space="preserve"> August 2024 - December 2024</w:t>
      </w:r>
    </w:p>
    <w:p w:rsidR="00000000" w:rsidDel="00000000" w:rsidP="00000000" w:rsidRDefault="00000000" w:rsidRPr="00000000" w14:paraId="00000015">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Implementation:</w:t>
      </w:r>
      <w:r w:rsidDel="00000000" w:rsidR="00000000" w:rsidRPr="00000000">
        <w:rPr>
          <w:rFonts w:ascii="Arial" w:cs="Arial" w:eastAsia="Arial" w:hAnsi="Arial"/>
          <w:color w:val="333333"/>
          <w:sz w:val="24"/>
          <w:szCs w:val="24"/>
          <w:rtl w:val="0"/>
        </w:rPr>
        <w:t xml:space="preserve"> January 2025 - September 2025</w:t>
      </w:r>
    </w:p>
    <w:p w:rsidR="00000000" w:rsidDel="00000000" w:rsidP="00000000" w:rsidRDefault="00000000" w:rsidRPr="00000000" w14:paraId="00000016">
      <w:pPr>
        <w:numPr>
          <w:ilvl w:val="0"/>
          <w:numId w:val="5"/>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Opening Ceremony:</w:t>
      </w:r>
      <w:r w:rsidDel="00000000" w:rsidR="00000000" w:rsidRPr="00000000">
        <w:rPr>
          <w:rFonts w:ascii="Arial" w:cs="Arial" w:eastAsia="Arial" w:hAnsi="Arial"/>
          <w:color w:val="333333"/>
          <w:sz w:val="24"/>
          <w:szCs w:val="24"/>
          <w:rtl w:val="0"/>
        </w:rPr>
        <w:t xml:space="preserve"> October 2025</w:t>
      </w:r>
    </w:p>
    <w:p w:rsidR="00000000" w:rsidDel="00000000" w:rsidP="00000000" w:rsidRDefault="00000000" w:rsidRPr="00000000" w14:paraId="00000017">
      <w:pPr>
        <w:pStyle w:val="Heading3"/>
        <w:spacing w:after="80" w:before="280" w:line="360" w:lineRule="auto"/>
        <w:ind w:right="0"/>
        <w:rPr>
          <w:rFonts w:ascii="Arial" w:cs="Arial" w:eastAsia="Arial" w:hAnsi="Arial"/>
          <w:color w:val="333333"/>
        </w:rPr>
      </w:pPr>
      <w:bookmarkStart w:colFirst="0" w:colLast="0" w:name="_mqzipf4xdjyq" w:id="7"/>
      <w:bookmarkEnd w:id="7"/>
      <w:r w:rsidDel="00000000" w:rsidR="00000000" w:rsidRPr="00000000">
        <w:rPr>
          <w:rFonts w:ascii="Arial" w:cs="Arial" w:eastAsia="Arial" w:hAnsi="Arial"/>
          <w:color w:val="333333"/>
          <w:rtl w:val="0"/>
        </w:rPr>
        <w:t xml:space="preserve">Budget Overview:</w:t>
      </w:r>
    </w:p>
    <w:p w:rsidR="00000000" w:rsidDel="00000000" w:rsidP="00000000" w:rsidRDefault="00000000" w:rsidRPr="00000000" w14:paraId="0000001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estimated budget for the Urban Green Space Revitalization Initiative is $500,000, covering design, materials, labor, and maintenance planning. Funding sources include city grants, environmental non-profits, and community fundraising.</w:t>
      </w:r>
    </w:p>
    <w:p w:rsidR="00000000" w:rsidDel="00000000" w:rsidP="00000000" w:rsidRDefault="00000000" w:rsidRPr="00000000" w14:paraId="00000019">
      <w:pPr>
        <w:pStyle w:val="Heading3"/>
        <w:spacing w:after="80" w:before="280" w:line="360" w:lineRule="auto"/>
        <w:ind w:right="0"/>
        <w:rPr>
          <w:rFonts w:ascii="Arial" w:cs="Arial" w:eastAsia="Arial" w:hAnsi="Arial"/>
          <w:color w:val="333333"/>
        </w:rPr>
      </w:pPr>
      <w:bookmarkStart w:colFirst="0" w:colLast="0" w:name="_kxlbju1pq4xf" w:id="8"/>
      <w:bookmarkEnd w:id="8"/>
      <w:r w:rsidDel="00000000" w:rsidR="00000000" w:rsidRPr="00000000">
        <w:rPr>
          <w:rFonts w:ascii="Arial" w:cs="Arial" w:eastAsia="Arial" w:hAnsi="Arial"/>
          <w:color w:val="333333"/>
          <w:rtl w:val="0"/>
        </w:rPr>
        <w:t xml:space="preserve">Team and Roles:</w:t>
      </w:r>
    </w:p>
    <w:p w:rsidR="00000000" w:rsidDel="00000000" w:rsidP="00000000" w:rsidRDefault="00000000" w:rsidRPr="00000000" w14:paraId="0000001A">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Project Manager:</w:t>
      </w:r>
      <w:r w:rsidDel="00000000" w:rsidR="00000000" w:rsidRPr="00000000">
        <w:rPr>
          <w:rFonts w:ascii="Arial" w:cs="Arial" w:eastAsia="Arial" w:hAnsi="Arial"/>
          <w:color w:val="333333"/>
          <w:sz w:val="24"/>
          <w:szCs w:val="24"/>
          <w:rtl w:val="0"/>
        </w:rPr>
        <w:t xml:space="preserve"> Alex Rivera - Oversees the entire project, ensuring timelines and budget are adhered to.</w:t>
      </w:r>
    </w:p>
    <w:p w:rsidR="00000000" w:rsidDel="00000000" w:rsidP="00000000" w:rsidRDefault="00000000" w:rsidRPr="00000000" w14:paraId="0000001B">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Landscape Architect:</w:t>
      </w:r>
      <w:r w:rsidDel="00000000" w:rsidR="00000000" w:rsidRPr="00000000">
        <w:rPr>
          <w:rFonts w:ascii="Arial" w:cs="Arial" w:eastAsia="Arial" w:hAnsi="Arial"/>
          <w:color w:val="333333"/>
          <w:sz w:val="24"/>
          <w:szCs w:val="24"/>
          <w:rtl w:val="0"/>
        </w:rPr>
        <w:t xml:space="preserve"> Jamie Chen - Designs the green spaces, selecting appropriate plants and layout.</w:t>
      </w:r>
    </w:p>
    <w:p w:rsidR="00000000" w:rsidDel="00000000" w:rsidP="00000000" w:rsidRDefault="00000000" w:rsidRPr="00000000" w14:paraId="0000001C">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Community Liaison:</w:t>
      </w:r>
      <w:r w:rsidDel="00000000" w:rsidR="00000000" w:rsidRPr="00000000">
        <w:rPr>
          <w:rFonts w:ascii="Arial" w:cs="Arial" w:eastAsia="Arial" w:hAnsi="Arial"/>
          <w:color w:val="333333"/>
          <w:sz w:val="24"/>
          <w:szCs w:val="24"/>
          <w:rtl w:val="0"/>
        </w:rPr>
        <w:t xml:space="preserve"> Sara Jenkins - Engages with the community to gather input and feedback.</w:t>
      </w:r>
    </w:p>
    <w:p w:rsidR="00000000" w:rsidDel="00000000" w:rsidP="00000000" w:rsidRDefault="00000000" w:rsidRPr="00000000" w14:paraId="0000001D">
      <w:pPr>
        <w:pStyle w:val="Heading3"/>
        <w:spacing w:after="80" w:before="280" w:line="360" w:lineRule="auto"/>
        <w:ind w:right="0"/>
        <w:rPr>
          <w:rFonts w:ascii="Arial" w:cs="Arial" w:eastAsia="Arial" w:hAnsi="Arial"/>
          <w:color w:val="333333"/>
        </w:rPr>
      </w:pPr>
      <w:bookmarkStart w:colFirst="0" w:colLast="0" w:name="_q9w9psmu4sfi" w:id="9"/>
      <w:bookmarkEnd w:id="9"/>
      <w:r w:rsidDel="00000000" w:rsidR="00000000" w:rsidRPr="00000000">
        <w:rPr>
          <w:rFonts w:ascii="Arial" w:cs="Arial" w:eastAsia="Arial" w:hAnsi="Arial"/>
          <w:color w:val="333333"/>
          <w:rtl w:val="0"/>
        </w:rPr>
        <w:t xml:space="preserve">Risks and Mitigation Strategies:</w:t>
      </w:r>
    </w:p>
    <w:p w:rsidR="00000000" w:rsidDel="00000000" w:rsidP="00000000" w:rsidRDefault="00000000" w:rsidRPr="00000000" w14:paraId="0000001E">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Risk:</w:t>
      </w:r>
      <w:r w:rsidDel="00000000" w:rsidR="00000000" w:rsidRPr="00000000">
        <w:rPr>
          <w:rFonts w:ascii="Arial" w:cs="Arial" w:eastAsia="Arial" w:hAnsi="Arial"/>
          <w:color w:val="333333"/>
          <w:sz w:val="24"/>
          <w:szCs w:val="24"/>
          <w:rtl w:val="0"/>
        </w:rPr>
        <w:t xml:space="preserve"> Delay due to unforeseen environmental factors.</w:t>
      </w:r>
    </w:p>
    <w:p w:rsidR="00000000" w:rsidDel="00000000" w:rsidP="00000000" w:rsidRDefault="00000000" w:rsidRPr="00000000" w14:paraId="0000001F">
      <w:pPr>
        <w:numPr>
          <w:ilvl w:val="1"/>
          <w:numId w:val="2"/>
        </w:numPr>
        <w:spacing w:after="0" w:afterAutospacing="0" w:before="0" w:beforeAutospacing="0" w:line="360" w:lineRule="auto"/>
        <w:ind w:left="1440" w:hanging="360"/>
        <w:rPr/>
      </w:pPr>
      <w:r w:rsidDel="00000000" w:rsidR="00000000" w:rsidRPr="00000000">
        <w:rPr>
          <w:rFonts w:ascii="Arial" w:cs="Arial" w:eastAsia="Arial" w:hAnsi="Arial"/>
          <w:b w:val="1"/>
          <w:color w:val="333333"/>
          <w:sz w:val="24"/>
          <w:szCs w:val="24"/>
          <w:rtl w:val="0"/>
        </w:rPr>
        <w:t xml:space="preserve">Mitigation:</w:t>
      </w:r>
      <w:r w:rsidDel="00000000" w:rsidR="00000000" w:rsidRPr="00000000">
        <w:rPr>
          <w:rFonts w:ascii="Arial" w:cs="Arial" w:eastAsia="Arial" w:hAnsi="Arial"/>
          <w:color w:val="333333"/>
          <w:sz w:val="24"/>
          <w:szCs w:val="24"/>
          <w:rtl w:val="0"/>
        </w:rPr>
        <w:t xml:space="preserve"> Develop a flexible project timeline with buffer periods.</w:t>
      </w:r>
    </w:p>
    <w:p w:rsidR="00000000" w:rsidDel="00000000" w:rsidP="00000000" w:rsidRDefault="00000000" w:rsidRPr="00000000" w14:paraId="00000020">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Risk:</w:t>
      </w:r>
      <w:r w:rsidDel="00000000" w:rsidR="00000000" w:rsidRPr="00000000">
        <w:rPr>
          <w:rFonts w:ascii="Arial" w:cs="Arial" w:eastAsia="Arial" w:hAnsi="Arial"/>
          <w:color w:val="333333"/>
          <w:sz w:val="24"/>
          <w:szCs w:val="24"/>
          <w:rtl w:val="0"/>
        </w:rPr>
        <w:t xml:space="preserve"> Insufficient funding.</w:t>
      </w:r>
    </w:p>
    <w:p w:rsidR="00000000" w:rsidDel="00000000" w:rsidP="00000000" w:rsidRDefault="00000000" w:rsidRPr="00000000" w14:paraId="00000021">
      <w:pPr>
        <w:numPr>
          <w:ilvl w:val="1"/>
          <w:numId w:val="2"/>
        </w:numPr>
        <w:spacing w:after="240" w:before="0" w:beforeAutospacing="0" w:line="360" w:lineRule="auto"/>
        <w:ind w:left="1440" w:hanging="360"/>
        <w:rPr/>
      </w:pPr>
      <w:r w:rsidDel="00000000" w:rsidR="00000000" w:rsidRPr="00000000">
        <w:rPr>
          <w:rFonts w:ascii="Arial" w:cs="Arial" w:eastAsia="Arial" w:hAnsi="Arial"/>
          <w:b w:val="1"/>
          <w:color w:val="333333"/>
          <w:sz w:val="24"/>
          <w:szCs w:val="24"/>
          <w:rtl w:val="0"/>
        </w:rPr>
        <w:t xml:space="preserve">Mitigation:</w:t>
      </w:r>
      <w:r w:rsidDel="00000000" w:rsidR="00000000" w:rsidRPr="00000000">
        <w:rPr>
          <w:rFonts w:ascii="Arial" w:cs="Arial" w:eastAsia="Arial" w:hAnsi="Arial"/>
          <w:color w:val="333333"/>
          <w:sz w:val="24"/>
          <w:szCs w:val="24"/>
          <w:rtl w:val="0"/>
        </w:rPr>
        <w:t xml:space="preserve"> Establish a contingency fund and explore additional funding sources.</w:t>
      </w:r>
    </w:p>
    <w:p w:rsidR="00000000" w:rsidDel="00000000" w:rsidP="00000000" w:rsidRDefault="00000000" w:rsidRPr="00000000" w14:paraId="00000022">
      <w:pPr>
        <w:pStyle w:val="Heading3"/>
        <w:spacing w:after="80" w:before="280" w:line="360" w:lineRule="auto"/>
        <w:ind w:right="0"/>
        <w:rPr>
          <w:rFonts w:ascii="Arial" w:cs="Arial" w:eastAsia="Arial" w:hAnsi="Arial"/>
          <w:color w:val="333333"/>
        </w:rPr>
      </w:pPr>
      <w:bookmarkStart w:colFirst="0" w:colLast="0" w:name="_2fjqws44k11j" w:id="10"/>
      <w:bookmarkEnd w:id="10"/>
      <w:r w:rsidDel="00000000" w:rsidR="00000000" w:rsidRPr="00000000">
        <w:rPr>
          <w:rFonts w:ascii="Arial" w:cs="Arial" w:eastAsia="Arial" w:hAnsi="Arial"/>
          <w:color w:val="333333"/>
          <w:rtl w:val="0"/>
        </w:rPr>
        <w:t xml:space="preserve">Impact and Benefits:</w:t>
      </w:r>
    </w:p>
    <w:p w:rsidR="00000000" w:rsidDel="00000000" w:rsidP="00000000" w:rsidRDefault="00000000" w:rsidRPr="00000000" w14:paraId="0000002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revitalization of urban areas into green spaces will significantly enhance local air quality, provide serene recreational areas for residents, and promote community engagement in environmental conservation. Long-term benefits include increased biodiversity and the promotion of sustainable urban living practices.</w:t>
      </w:r>
    </w:p>
    <w:p w:rsidR="00000000" w:rsidDel="00000000" w:rsidP="00000000" w:rsidRDefault="00000000" w:rsidRPr="00000000" w14:paraId="00000024">
      <w:pPr>
        <w:pStyle w:val="Heading3"/>
        <w:spacing w:after="80" w:before="280" w:line="360" w:lineRule="auto"/>
        <w:ind w:right="0"/>
        <w:rPr>
          <w:rFonts w:ascii="Arial" w:cs="Arial" w:eastAsia="Arial" w:hAnsi="Arial"/>
          <w:color w:val="333333"/>
        </w:rPr>
      </w:pPr>
      <w:bookmarkStart w:colFirst="0" w:colLast="0" w:name="_lczhvdf501eu" w:id="11"/>
      <w:bookmarkEnd w:id="11"/>
      <w:r w:rsidDel="00000000" w:rsidR="00000000" w:rsidRPr="00000000">
        <w:rPr>
          <w:rFonts w:ascii="Arial" w:cs="Arial" w:eastAsia="Arial" w:hAnsi="Arial"/>
          <w:color w:val="333333"/>
          <w:rtl w:val="0"/>
        </w:rPr>
        <w:t xml:space="preserve">Evaluation and Monitoring:</w:t>
      </w:r>
    </w:p>
    <w:p w:rsidR="00000000" w:rsidDel="00000000" w:rsidP="00000000" w:rsidRDefault="00000000" w:rsidRPr="00000000" w14:paraId="00000025">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Success will be evaluated through community feedback, increased biodiversity metrics, and usage rates of the new green spaces. Regular monitoring will be conducted to assess the health of the plant life and infrastructure integrity.</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2"/>
          <w:bookmarkEnd w:id="12"/>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13"/>
          <w:bookmarkEnd w:id="13"/>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rFonts w:ascii="Georgia" w:cs="Georgia" w:eastAsia="Georgia" w:hAnsi="Georgia"/>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