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88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762000" cy="254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line="240" w:lineRule="auto"/>
        <w:rPr>
          <w:rFonts w:ascii="Roboto" w:cs="Roboto" w:eastAsia="Roboto" w:hAnsi="Roboto"/>
          <w:b w:val="1"/>
          <w:sz w:val="60"/>
          <w:szCs w:val="60"/>
        </w:rPr>
      </w:pPr>
      <w:bookmarkStart w:colFirst="0" w:colLast="0" w:name="_u671p7hgq6if" w:id="0"/>
      <w:bookmarkEnd w:id="0"/>
      <w:r w:rsidDel="00000000" w:rsidR="00000000" w:rsidRPr="00000000">
        <w:rPr>
          <w:rFonts w:ascii="Roboto" w:cs="Roboto" w:eastAsia="Roboto" w:hAnsi="Roboto"/>
          <w:b w:val="1"/>
          <w:sz w:val="60"/>
          <w:szCs w:val="60"/>
          <w:rtl w:val="0"/>
        </w:rPr>
        <w:t xml:space="preserve">Title Project Proposal in Education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6"/>
          <w:szCs w:val="26"/>
          <w:rtl w:val="0"/>
        </w:rPr>
        <w:t xml:space="preserve">Title: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"Empowering Tomorrow's Leaders: A Comprehensive Approach to Educational Enrichment"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360" w:lineRule="auto"/>
        <w:rPr>
          <w:rFonts w:ascii="Arial" w:cs="Arial" w:eastAsia="Arial" w:hAnsi="Arial"/>
          <w:b w:val="1"/>
          <w:color w:val="0d0d0d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6"/>
          <w:szCs w:val="26"/>
          <w:rtl w:val="0"/>
        </w:rPr>
        <w:t xml:space="preserve">Introduction: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This project proposal seeks to enhance the quality of education through a multifaceted approach focused on enriching students' learning experiences.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360" w:lineRule="auto"/>
        <w:rPr>
          <w:rFonts w:ascii="Arial" w:cs="Arial" w:eastAsia="Arial" w:hAnsi="Arial"/>
          <w:b w:val="1"/>
          <w:color w:val="0d0d0d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6"/>
          <w:szCs w:val="26"/>
          <w:rtl w:val="0"/>
        </w:rPr>
        <w:t xml:space="preserve">Objective: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To provide students with diverse opportunities for academic growth, personal development, and community engagement to prepare them as future leaders.</w:t>
      </w:r>
    </w:p>
    <w:p w:rsidR="00000000" w:rsidDel="00000000" w:rsidP="00000000" w:rsidRDefault="00000000" w:rsidRPr="00000000" w14:paraId="0000000A">
      <w:pP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6"/>
          <w:szCs w:val="26"/>
          <w:rtl w:val="0"/>
        </w:rPr>
        <w:t xml:space="preserve">Methodology: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before="0" w:line="360" w:lineRule="auto"/>
        <w:ind w:left="720" w:hanging="36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Implement innovative teaching methods and curriculum enhancements to cater to diverse learning styles.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before="0" w:line="360" w:lineRule="auto"/>
        <w:ind w:left="720" w:hanging="36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Offer extracurricular activities such as clubs, workshops, and seminars to broaden students' horizons.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before="0" w:line="360" w:lineRule="auto"/>
        <w:ind w:left="720" w:hanging="36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Establish mentorship programs connecting students with industry professionals and alumni.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before="0" w:line="360" w:lineRule="auto"/>
        <w:ind w:left="720" w:hanging="36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Collaborate with community partners to create service-learning opportunities that foster civic responsibility.</w:t>
      </w:r>
    </w:p>
    <w:p w:rsidR="00000000" w:rsidDel="00000000" w:rsidP="00000000" w:rsidRDefault="00000000" w:rsidRPr="00000000" w14:paraId="0000000F">
      <w:pP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6"/>
          <w:szCs w:val="26"/>
          <w:rtl w:val="0"/>
        </w:rPr>
        <w:t xml:space="preserve">Expected Outcomes: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before="0" w:line="360" w:lineRule="auto"/>
        <w:ind w:left="720" w:hanging="36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Improved academic performance and engagement among students.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before="0" w:line="360" w:lineRule="auto"/>
        <w:ind w:left="720" w:hanging="36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Enhanced critical thinking, problem-solving, and communication skills.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before="0" w:line="360" w:lineRule="auto"/>
        <w:ind w:left="720" w:hanging="36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Increased confidence and leadership abilities among students.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before="0" w:line="360" w:lineRule="auto"/>
        <w:ind w:left="720" w:hanging="36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Strengthened school-community relationships and a culture of lifelong learning.</w:t>
      </w:r>
    </w:p>
    <w:p w:rsidR="00000000" w:rsidDel="00000000" w:rsidP="00000000" w:rsidRDefault="00000000" w:rsidRPr="00000000" w14:paraId="00000014">
      <w:pPr>
        <w:spacing w:before="720" w:line="360" w:lineRule="auto"/>
        <w:rPr>
          <w:rFonts w:ascii="Arial" w:cs="Arial" w:eastAsia="Arial" w:hAnsi="Arial"/>
          <w:b w:val="1"/>
          <w:color w:val="0d0d0d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6"/>
          <w:szCs w:val="26"/>
          <w:rtl w:val="0"/>
        </w:rPr>
        <w:t xml:space="preserve">Conclusion:</w:t>
      </w:r>
    </w:p>
    <w:p w:rsidR="00000000" w:rsidDel="00000000" w:rsidP="00000000" w:rsidRDefault="00000000" w:rsidRPr="00000000" w14:paraId="00000015">
      <w:pPr>
        <w:shd w:fill="ffffff" w:val="clear"/>
        <w:spacing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Through this comprehensive approach to educational enrichment, we aim to empower students to become active, informed, and compassionate leaders who contribute positively to society.</w:t>
      </w:r>
    </w:p>
    <w:p w:rsidR="00000000" w:rsidDel="00000000" w:rsidP="00000000" w:rsidRDefault="00000000" w:rsidRPr="00000000" w14:paraId="00000016">
      <w:pPr>
        <w:spacing w:before="400" w:line="331.2" w:lineRule="auto"/>
        <w:jc w:val="center"/>
        <w:rPr/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</w:rPr>
        <w:drawing>
          <wp:inline distB="114300" distT="114300" distL="114300" distR="114300">
            <wp:extent cx="5943600" cy="25400"/>
            <wp:effectExtent b="0" l="0" r="0" t="0"/>
            <wp:docPr descr="horizontal line" id="2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o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Quicksan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ora" w:cs="Lora" w:eastAsia="Lora" w:hAnsi="Lora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0" w:line="240" w:lineRule="auto"/>
      <w:jc w:val="center"/>
    </w:pPr>
    <w:rPr>
      <w:color w:val="000000"/>
      <w:sz w:val="72"/>
      <w:szCs w:val="72"/>
    </w:rPr>
  </w:style>
  <w:style w:type="paragraph" w:styleId="Heading2">
    <w:name w:val="heading 2"/>
    <w:basedOn w:val="Normal"/>
    <w:next w:val="Normal"/>
    <w:pPr>
      <w:pageBreakBefore w:val="0"/>
      <w:spacing w:before="480" w:lineRule="auto"/>
    </w:pPr>
    <w:rPr>
      <w:color w:val="000000"/>
      <w:sz w:val="40"/>
      <w:szCs w:val="40"/>
    </w:rPr>
  </w:style>
  <w:style w:type="paragraph" w:styleId="Heading3">
    <w:name w:val="heading 3"/>
    <w:basedOn w:val="Normal"/>
    <w:next w:val="Normal"/>
    <w:pPr>
      <w:pageBreakBefore w:val="0"/>
      <w:spacing w:after="120" w:before="120" w:line="312" w:lineRule="auto"/>
    </w:pPr>
    <w:rPr>
      <w:color w:val="999999"/>
    </w:rPr>
  </w:style>
  <w:style w:type="paragraph" w:styleId="Heading4">
    <w:name w:val="heading 4"/>
    <w:basedOn w:val="Normal"/>
    <w:next w:val="Normal"/>
    <w:pPr>
      <w:pageBreakBefore w:val="0"/>
      <w:spacing w:before="0" w:line="240" w:lineRule="auto"/>
      <w:jc w:val="center"/>
    </w:pPr>
    <w:rPr>
      <w:rFonts w:ascii="Quicksand" w:cs="Quicksand" w:eastAsia="Quicksand" w:hAnsi="Quicksand"/>
      <w:color w:val="434343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200" w:line="240" w:lineRule="auto"/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  <w:jc w:val="center"/>
    </w:pPr>
    <w:rPr>
      <w:rFonts w:ascii="Quicksand" w:cs="Quicksand" w:eastAsia="Quicksand" w:hAnsi="Quicksand"/>
      <w:color w:val="666666"/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Quicksand-bold.ttf"/><Relationship Id="rId9" Type="http://schemas.openxmlformats.org/officeDocument/2006/relationships/font" Target="fonts/Quicksand-regular.ttf"/><Relationship Id="rId5" Type="http://schemas.openxmlformats.org/officeDocument/2006/relationships/font" Target="fonts/Lora-regular.ttf"/><Relationship Id="rId6" Type="http://schemas.openxmlformats.org/officeDocument/2006/relationships/font" Target="fonts/Lora-bold.ttf"/><Relationship Id="rId7" Type="http://schemas.openxmlformats.org/officeDocument/2006/relationships/font" Target="fonts/Lora-italic.ttf"/><Relationship Id="rId8" Type="http://schemas.openxmlformats.org/officeDocument/2006/relationships/font" Target="fonts/Lo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