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Roboto" w:cs="Roboto" w:eastAsia="Roboto" w:hAnsi="Roboto"/>
          <w:b w:val="1"/>
          <w:color w:val="00ab44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60"/>
          <w:szCs w:val="60"/>
          <w:rtl w:val="0"/>
        </w:rPr>
        <w:t xml:space="preserve">Title Project Proposal in Community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Title: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Empowering Community Through Sustainable Urban Gardening Initiatives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Introduction: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project proposal aims to initiate sustainable urban gardening initiatives within our community to promote food security, environmental sustainability, and community engagement.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Objective: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establish community gardens and educational programs that empower residents to cultivate their own food, foster environmental stewardship, and build social connections.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Methodology: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Identify suitable locations for community gardens in collaboration with local authorities and stakeholders.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Provide resources, including seeds, tools, and educational materials, to support garden establishment and maintenance.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Offer workshops, demonstrations, and training sessions on organic gardening techniques, composting, and water conservation.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Facilitate community events, such as harvest festivals and gardening clubs, to promote social interaction and collective learning.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Expected Outcomes: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Increased access to fresh, locally grown produce for community members.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Enhanced environmental awareness and sustainable living practices.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Strengthened social cohesion and sense of belonging within the community.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Creation of green spaces that beautify neighborhoods and improve overall well-being.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Conclusion: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By implementing sustainable urban gardening initiatives, this project seeks to empower community members to take an active role in shaping their local food systems, fostering a resilient and vibrant community that thrives on collaboration, sustainability, and shared prosperity.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