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762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>
          <w:rFonts w:ascii="Roboto" w:cs="Roboto" w:eastAsia="Roboto" w:hAnsi="Roboto"/>
          <w:color w:val="351c75"/>
          <w:sz w:val="60"/>
          <w:szCs w:val="60"/>
        </w:rPr>
      </w:pPr>
      <w:bookmarkStart w:colFirst="0" w:colLast="0" w:name="_2gazcsgmxkub" w:id="0"/>
      <w:bookmarkEnd w:id="0"/>
      <w:r w:rsidDel="00000000" w:rsidR="00000000" w:rsidRPr="00000000">
        <w:rPr>
          <w:rFonts w:ascii="Roboto" w:cs="Roboto" w:eastAsia="Roboto" w:hAnsi="Roboto"/>
          <w:color w:val="351c75"/>
          <w:sz w:val="60"/>
          <w:szCs w:val="60"/>
          <w:rtl w:val="0"/>
        </w:rPr>
        <w:t xml:space="preserve">School Building Project Proposal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Title: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Innovative Learning Academy Construction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Proposed by: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ABC Development Group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October 29, 2024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Project Location:</w:t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789 Education Lane, Learning Town, State</w:t>
      </w:r>
    </w:p>
    <w:p w:rsidR="00000000" w:rsidDel="00000000" w:rsidP="00000000" w:rsidRDefault="00000000" w:rsidRPr="00000000" w14:paraId="00000008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f0gu2dab0tss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Executive Summary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proposal is designed to outline the development of the Innovative Learning Academy, a state-of-the-art educational facility at 789 Education Lane. Our goal is to construct a building that supports a dynamic learning environment with advanced educational technologies and sustainable design principles to foster academic excellence.</w:t>
      </w:r>
    </w:p>
    <w:p w:rsidR="00000000" w:rsidDel="00000000" w:rsidP="00000000" w:rsidRDefault="00000000" w:rsidRPr="00000000" w14:paraId="0000000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aqrsq4hqkww7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Background</w:t>
      </w:r>
    </w:p>
    <w:p w:rsidR="00000000" w:rsidDel="00000000" w:rsidP="00000000" w:rsidRDefault="00000000" w:rsidRPr="00000000" w14:paraId="0000000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With the growing population in Learning Town and the increasing demand for innovative educational infrastructures, there is a significant need for new educational facilities. The Innovative Learning Academy aims to provide an enhanced educational experience with a focus on STEM subjects and modern learning methodologies.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p1rke2fx4cgy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Objectives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Develop a 50-classroom facility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accommodate up to 1,500 students from kindergarten to 12th grade.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Incorporate advanced technology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 all classrooms, including smart boards, digital laboratories, and a media center.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Utilize eco-friendly materials and systems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minimize environmental impact and reduce operational costs.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 the construction by Q3 2026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align with the academic year beginning.</w:t>
      </w:r>
    </w:p>
    <w:p w:rsidR="00000000" w:rsidDel="00000000" w:rsidP="00000000" w:rsidRDefault="00000000" w:rsidRPr="00000000" w14:paraId="00000011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o6hwbj742bol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Project Scope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Land Acquisition and Preparation: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November 2024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Architectural Design and Planning: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December 2024 - March 2025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April 2025 - August 2026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Interior Setup and Testing: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September 2026 - November 2026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Official Opening: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January 2027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o82t6zumtdnu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Deliverables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Construction of a multi-facility educational complex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Advanced technological equipment for classrooms and laboratories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Recreational areas including sports facilities and playgrounds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Administrative and maintenance facilities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Security and safety systems installation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jze5437wplyv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Milestones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Q4 2024: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 land acquisition and site preparations.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 architectural designs and receive all necessary permits.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Q4 2025: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 structural framework.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Q2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Complete roofing, plumbing, and electrical installations.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Q3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Finalize interiors and exterior landscaping.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Q4 2026: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Conduct safety checks and final inspections.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ob2o65o3e3fj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Budget</w:t>
      </w:r>
    </w:p>
    <w:p w:rsidR="00000000" w:rsidDel="00000000" w:rsidP="00000000" w:rsidRDefault="00000000" w:rsidRPr="00000000" w14:paraId="0000002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Estimated total cost for the Innovative Learning Academy is estimated at $60 million, broken down as follows: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Costs: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$45 million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Equipment and Technology: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$10 million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Furniture and Interior Decorations: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$2 million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Contingencies and Miscellaneous: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$3 million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58l5tda3eya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Funding</w:t>
      </w:r>
    </w:p>
    <w:p w:rsidR="00000000" w:rsidDel="00000000" w:rsidP="00000000" w:rsidRDefault="00000000" w:rsidRPr="00000000" w14:paraId="0000002B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Funding will be sourced from: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Local Government Educational Grants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Private Investors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School Bonds Issued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  <w:u w:val="none"/>
        </w:rPr>
      </w:pPr>
      <w:bookmarkStart w:colFirst="0" w:colLast="0" w:name="_hj3ajl6bmzdf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u w:val="none"/>
          <w:rtl w:val="0"/>
        </w:rPr>
        <w:t xml:space="preserve">Risk Analysis</w:t>
      </w:r>
    </w:p>
    <w:p w:rsidR="00000000" w:rsidDel="00000000" w:rsidP="00000000" w:rsidRDefault="00000000" w:rsidRPr="00000000" w14:paraId="00000030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Potential risks include:</w:t>
      </w:r>
    </w:p>
    <w:p w:rsidR="00000000" w:rsidDel="00000000" w:rsidP="00000000" w:rsidRDefault="00000000" w:rsidRPr="00000000" w14:paraId="00000031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Construction Delays: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Potential delays due to weather or supply chain disruptions.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Technology Integration Challenges: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Risks associated with the integration of high-tech educational tools.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Budget Overruns: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Controlled through stringent budget oversight and phased funding releases.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="360" w:lineRule="auto"/>
        <w:rPr>
          <w:rFonts w:ascii="Arial" w:cs="Arial" w:eastAsia="Arial" w:hAnsi="Arial"/>
          <w:b w:val="1"/>
          <w:color w:val="000000"/>
          <w:u w:val="none"/>
        </w:rPr>
      </w:pPr>
      <w:bookmarkStart w:colFirst="0" w:colLast="0" w:name="_j54ktzhj06en" w:id="10"/>
      <w:bookmarkEnd w:id="10"/>
      <w:r w:rsidDel="00000000" w:rsidR="00000000" w:rsidRPr="00000000">
        <w:rPr>
          <w:rFonts w:ascii="Arial" w:cs="Arial" w:eastAsia="Arial" w:hAnsi="Arial"/>
          <w:b w:val="1"/>
          <w:color w:val="000000"/>
          <w:u w:val="none"/>
          <w:rtl w:val="0"/>
        </w:rPr>
        <w:t xml:space="preserve">Conclusion</w:t>
      </w:r>
    </w:p>
    <w:p w:rsidR="00000000" w:rsidDel="00000000" w:rsidP="00000000" w:rsidRDefault="00000000" w:rsidRPr="00000000" w14:paraId="0000003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construction of the Innovative Learning Academy represents a crucial step towards enhancing educational infrastructure in Learning Town. ABC Development Group is dedicated to creating a facility that will serve as a cornerstone for future educational success.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 Narrow">
    <w:embedRegular w:fontKey="{00000000-0000-0000-0000-000000000000}" r:id="rId5" w:subsetted="0"/>
    <w:embedBold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Fonts w:ascii="PT Sans Narrow" w:cs="PT Sans Narrow" w:eastAsia="PT Sans Narrow" w:hAnsi="PT Sans Narrow"/>
        <w:sz w:val="28"/>
        <w:szCs w:val="28"/>
        <w:rtl w:val="0"/>
      </w:rPr>
      <w:t xml:space="preserve">  </w:t>
    </w:r>
    <w:r w:rsidDel="00000000" w:rsidR="00000000" w:rsidRPr="00000000">
      <w:rPr>
        <w:rFonts w:ascii="PT Sans Narrow" w:cs="PT Sans Narrow" w:eastAsia="PT Sans Narrow" w:hAnsi="PT Sans Narrow"/>
        <w:sz w:val="28"/>
        <w:szCs w:val="2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lineRule="auto"/>
      <w:rPr/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5943600" cy="76200"/>
          <wp:effectExtent b="0" l="0" r="0" t="0"/>
          <wp:docPr descr="horizontal line" id="2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76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jc w:val="right"/>
      <w:rPr>
        <w:rFonts w:ascii="PT Sans Narrow" w:cs="PT Sans Narrow" w:eastAsia="PT Sans Narrow" w:hAnsi="PT Sans Narrow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color w:val="695d46"/>
        <w:sz w:val="22"/>
        <w:szCs w:val="22"/>
        <w:lang w:val="en"/>
      </w:rPr>
    </w:rPrDefault>
    <w:pPrDefault>
      <w:pPr>
        <w:spacing w:before="12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312" w:lineRule="auto"/>
    </w:pPr>
    <w:rPr>
      <w:rFonts w:ascii="PT Sans Narrow" w:cs="PT Sans Narrow" w:eastAsia="PT Sans Narrow" w:hAnsi="PT Sans Narrow"/>
      <w:b w:val="1"/>
      <w:color w:val="ff5e0e"/>
      <w:sz w:val="36"/>
      <w:szCs w:val="36"/>
    </w:rPr>
  </w:style>
  <w:style w:type="paragraph" w:styleId="Heading2">
    <w:name w:val="heading 2"/>
    <w:basedOn w:val="Normal"/>
    <w:next w:val="Normal"/>
    <w:pPr>
      <w:pageBreakBefore w:val="0"/>
    </w:pPr>
    <w:rPr>
      <w:rFonts w:ascii="PT Sans Narrow" w:cs="PT Sans Narrow" w:eastAsia="PT Sans Narrow" w:hAnsi="PT Sans Narrow"/>
      <w:color w:val="008575"/>
      <w:sz w:val="32"/>
      <w:szCs w:val="32"/>
    </w:rPr>
  </w:style>
  <w:style w:type="paragraph" w:styleId="Heading3">
    <w:name w:val="heading 3"/>
    <w:basedOn w:val="Normal"/>
    <w:next w:val="Normal"/>
    <w:pPr>
      <w:pageBreakBefore w:val="0"/>
      <w:spacing w:after="120" w:before="0" w:line="240" w:lineRule="auto"/>
    </w:pPr>
    <w:rPr>
      <w:rFonts w:ascii="PT Sans Narrow" w:cs="PT Sans Narrow" w:eastAsia="PT Sans Narrow" w:hAnsi="PT Sans Narrow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</w:pPr>
    <w:rPr>
      <w:rFonts w:ascii="PT Sans Narrow" w:cs="PT Sans Narrow" w:eastAsia="PT Sans Narrow" w:hAnsi="PT Sans Narrow"/>
      <w:b w:val="1"/>
      <w:sz w:val="84"/>
      <w:szCs w:val="84"/>
    </w:rPr>
  </w:style>
  <w:style w:type="paragraph" w:styleId="Subtitle">
    <w:name w:val="Subtitle"/>
    <w:basedOn w:val="Normal"/>
    <w:next w:val="Normal"/>
    <w:pPr>
      <w:pageBreakBefore w:val="0"/>
      <w:spacing w:after="0" w:lineRule="auto"/>
    </w:pPr>
    <w:rPr>
      <w:rFonts w:ascii="PT Sans Narrow" w:cs="PT Sans Narrow" w:eastAsia="PT Sans Narrow" w:hAnsi="PT Sans Narrow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PTSansNarrow-regular.ttf"/><Relationship Id="rId6" Type="http://schemas.openxmlformats.org/officeDocument/2006/relationships/font" Target="fonts/PTSansNarrow-bold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