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274e13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274e13"/>
          <w:sz w:val="60"/>
          <w:szCs w:val="60"/>
          <w:rtl w:val="0"/>
        </w:rPr>
        <w:t xml:space="preserve">Biology Field Trip Report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School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Green Valley High School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Field Trip: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May 12,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Green Valley Nature Reserve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Course: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AP Biology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Teacher: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Mrs. Linda Parker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Number of Students: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28</w:t>
      </w:r>
    </w:p>
    <w:p w:rsidR="00000000" w:rsidDel="00000000" w:rsidP="00000000" w:rsidRDefault="00000000" w:rsidRPr="00000000" w14:paraId="00000005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xhp1t84p5xen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Objectives of the Field Trip: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main objectives of this field trip were to: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Provide students with a hands-on learning experience in an ecological setting.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Enhance students' understanding of biodiversity, ecosystems, and environmental conservation.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Apply classroom knowledge to real-world observations and field research.</w:t>
      </w:r>
    </w:p>
    <w:p w:rsidR="00000000" w:rsidDel="00000000" w:rsidP="00000000" w:rsidRDefault="00000000" w:rsidRPr="00000000" w14:paraId="0000000A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eexnnp14kkxh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Summary of Activities: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field trip to Green Valley Nature Reserve included a variety of educational activities and explorations. Highlights of the trip included: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Welcome and Orientation: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nature reserve’s guide provided an overview of the reserve, its significance, and safety guidelines.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Students were divided into small groups, each supervised by a chaperone.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Guided Nature Walk: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Flora and Fauna Identification: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Students identified various plant species, insects, birds, and other wildlife.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Habitat Exploration: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Examination of different habitats within the reserve, including wetlands, forests, and grasslands.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Ecosystem Study: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Water Quality Testing: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Students conducted tests on water samples from the reserve’s pond to measure pH, turbidity, and dissolved oxygen levels.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Soil Sampling: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Collection and analysis of soil samples to study composition and microorganism presence.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Biodiversity Assessment: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Transect and Quadrat Sampling: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Techniques used to estimate species diversity and abundance in different areas of the reserve.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Species Observation: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Recording and analyzing the behavior and interactions of various species.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Conservation Workshop: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Discussion on Conservation Practices: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Presentation by the reserve staff on the importance of conservation and the efforts being made to protect local ecosystems.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Interactive Session: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Students participated in a discussion on how they can contribute to conservation efforts.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Lunch Break: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Students enjoyed a picnic lunch in a designated area of the reserve.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Reflection and Q&amp;A Session: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Students shared their observations and findings, followed by a Q&amp;A session with the reserve’s guide and biology teacher.</w:t>
      </w:r>
    </w:p>
    <w:p w:rsidR="00000000" w:rsidDel="00000000" w:rsidP="00000000" w:rsidRDefault="00000000" w:rsidRPr="00000000" w14:paraId="0000001F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ia6mw43oquh6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Learning Outcomes: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field trip successfully met its objectives. Key learning outcomes included: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Enhanced understanding of biodiversity and ecosystem dynamics through direct observation and hands-on activities.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Increased student engagement and interest in environmental science and conservation.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Improved practical skills in field research techniques and data analysis.</w:t>
      </w:r>
    </w:p>
    <w:p w:rsidR="00000000" w:rsidDel="00000000" w:rsidP="00000000" w:rsidRDefault="00000000" w:rsidRPr="00000000" w14:paraId="00000024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1bop2epj7b88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Feedback:</w:t>
      </w:r>
    </w:p>
    <w:p w:rsidR="00000000" w:rsidDel="00000000" w:rsidP="00000000" w:rsidRDefault="00000000" w:rsidRPr="00000000" w14:paraId="0000002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Students provided positive feedback about the field trip, particularly enjoying the hands-on activities and the opportunity to observe wildlife in their natural habitat. They expressed a greater appreciation for environmental conservation and a desire to participate in similar activities in the future.</w:t>
      </w:r>
    </w:p>
    <w:p w:rsidR="00000000" w:rsidDel="00000000" w:rsidP="00000000" w:rsidRDefault="00000000" w:rsidRPr="00000000" w14:paraId="00000026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9j8tweun3vj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Recommendations: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Future Field Trips: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Plan additional trips to other ecological sites and reserves to provide students with a diverse range of environmental experiences.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Pre-Trip Preparation: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Assign pre-trip readings and activities to ensure students are well-prepared and informed about the topics they will explore.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Post-Trip Activities: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Implement follow-up assignments, such as field reports or presentations, to reinforce the learning experience and encourage further research.</w:t>
      </w:r>
    </w:p>
    <w:p w:rsidR="00000000" w:rsidDel="00000000" w:rsidP="00000000" w:rsidRDefault="00000000" w:rsidRPr="00000000" w14:paraId="0000002A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o4fc3ldbh1ze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Conclusion:</w:t>
      </w:r>
    </w:p>
    <w:p w:rsidR="00000000" w:rsidDel="00000000" w:rsidP="00000000" w:rsidRDefault="00000000" w:rsidRPr="00000000" w14:paraId="0000002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field trip to Green Valley Nature Reserve was an enriching educational experience for the AP Biology students. It successfully achieved its objectives of enhancing scientific understanding and fostering a connection between classroom learning and real-world ecology. Future trips of this nature are highly recommended to continue providing students with valuable educational opportunities.</w:t>
      </w:r>
    </w:p>
    <w:p w:rsidR="00000000" w:rsidDel="00000000" w:rsidP="00000000" w:rsidRDefault="00000000" w:rsidRPr="00000000" w14:paraId="0000002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Submitted by: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Mrs. Linda Parker</w:t>
        <w:br w:type="textWrapping"/>
        <w:t xml:space="preserve">AP Biology Teacher</w:t>
        <w:br w:type="textWrapping"/>
        <w:t xml:space="preserve">Green Valley High School</w:t>
      </w:r>
    </w:p>
    <w:p w:rsidR="00000000" w:rsidDel="00000000" w:rsidP="00000000" w:rsidRDefault="00000000" w:rsidRPr="00000000" w14:paraId="0000002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May 18, 2024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