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Doctor Letter For Maternity Leave</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Women's Health Associates Letterhead</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September 26,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confirm the pregnancy and expected delivery date of my patient, Emily Rodriguez. Emily has been under my care since March 5, 2024, and her pregnancy has been progressing normally without significant complications.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Based on our recent examinations, the estimated due date for Emily is December 15, 2024. It is medically advisable for Emily to commence her maternity leave six weeks prior to her due date to ensure she maintains good health and prepares adequately for childbirth. Accordingly, I recommend that her maternity leave start on November 3, 2024.</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also suggested that Emily be allowed a postpartum recovery period of at least eight weeks after delivery before returning to work. This is to ensure she receives adequate rest and bonding time with her newborn, which is crucial for both physical recovery and emotional well-being.</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if further information is needed or if there are forms and documentation that require my attention.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cooperation and support in providing Emily with the necessary time to manage her health and familial responsibilities during this significant period.</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 Sarah Bennett</w:t>
        <w:br w:type="textWrapping"/>
        <w:t xml:space="preserve">Obstetrician-Gynecologist</w:t>
        <w:br w:type="textWrapping"/>
        <w:t xml:space="preserve">Medical License Number: OB5690</w:t>
        <w:br w:type="textWrapping"/>
        <w:t xml:space="preserve">789 Maternity Way, Suite 300, Anytown, ST 12345</w:t>
        <w:br w:type="textWrapping"/>
        <w:t xml:space="preserve">(555) 234-5678</w:t>
        <w:br w:type="textWrapping"/>
        <w:t xml:space="preserve">dr.sarahbennett@womenshealthassociates.com</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