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  <w:rtl w:val="0"/>
        </w:rPr>
        <w:t xml:space="preserve">Academic Medicine Research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9byuco8mjjr7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Impact of Telemedicine on Chronic Disease Management: A Five-Year Study</w:t>
      </w:r>
    </w:p>
    <w:p w:rsidR="00000000" w:rsidDel="00000000" w:rsidP="00000000" w:rsidRDefault="00000000" w:rsidRPr="00000000" w14:paraId="00000005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5skchd906d08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Abstract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evaluate the effectiveness of telemedicine interventions in managing Type II Diabetes among rural populations over a five-year period.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longitudinal study was conducted with a cohort of 500 patients, utilizing a control group and an intervention group.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Telemedicine intervention showed a 30% improvement in managing blood sugar levels compared to the control.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Telemedicine is an effective tool for chronic disease management in rural settings.</w:t>
      </w:r>
    </w:p>
    <w:p w:rsidR="00000000" w:rsidDel="00000000" w:rsidP="00000000" w:rsidRDefault="00000000" w:rsidRPr="00000000" w14:paraId="0000000A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kcfjgy3pptg2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Explanation of chronic disease management challenges in rural areas.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determine the impact of telemedicine solutions on the management of Type II Diabetes.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Significance of Study: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Importance of telemedicine in improving healthcare accessibility and outcomes.</w:t>
      </w:r>
    </w:p>
    <w:p w:rsidR="00000000" w:rsidDel="00000000" w:rsidP="00000000" w:rsidRDefault="00000000" w:rsidRPr="00000000" w14:paraId="0000000E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jqoq2ks3toah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Literature Review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Studies: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Summary of previous research on telemedicine and chronic disease management.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Gaps in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what previous studies have not addressed and how this study contributes to the existing knowledge.</w:t>
      </w:r>
    </w:p>
    <w:p w:rsidR="00000000" w:rsidDel="00000000" w:rsidP="00000000" w:rsidRDefault="00000000" w:rsidRPr="00000000" w14:paraId="00000011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mw84d63wfu8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Methods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the longitudinal study design and rationale.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Criteria for participant selection and description of participants (age, sex, health status).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Intervention: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description of the telemedicine interventions implemented.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Techniques used for data collection (surveys, medical records, interviews).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Statistical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Explanation of statistical methods used to analyze the data.</w:t>
      </w:r>
    </w:p>
    <w:p w:rsidR="00000000" w:rsidDel="00000000" w:rsidP="00000000" w:rsidRDefault="00000000" w:rsidRPr="00000000" w14:paraId="00000017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v3cyllu76i3e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Results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Presentation: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Presentation of data in tables and graphs.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Statistical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Summary of statistical analyses, including confidence intervals and significance levels.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Subgroup Analyses: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Results of any subgroup analyses conducted.</w:t>
      </w:r>
    </w:p>
    <w:p w:rsidR="00000000" w:rsidDel="00000000" w:rsidP="00000000" w:rsidRDefault="00000000" w:rsidRPr="00000000" w14:paraId="0000001B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9npg69amc4ih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Discussion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Interpretation of 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Discussion on how the findings relate to previous studies.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Broader implications of the findings for clinical practice and policy.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Limitations: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Discussion of the limitations of the study and their impact on the results.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Future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Suggestions for future research topics based on the findings.</w:t>
      </w:r>
    </w:p>
    <w:p w:rsidR="00000000" w:rsidDel="00000000" w:rsidP="00000000" w:rsidRDefault="00000000" w:rsidRPr="00000000" w14:paraId="00000020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rzqog3157f86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Conclusion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Recap of the major findings and their importance.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and Policy Implications: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the findings can be applied in practice or influence policy.</w:t>
      </w:r>
    </w:p>
    <w:p w:rsidR="00000000" w:rsidDel="00000000" w:rsidP="00000000" w:rsidRDefault="00000000" w:rsidRPr="00000000" w14:paraId="00000023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rvrc8tsett51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Citation Style: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Properly formatted references following a specific citation style (e.g., APA, MLA).</w:t>
      </w:r>
    </w:p>
    <w:p w:rsidR="00000000" w:rsidDel="00000000" w:rsidP="00000000" w:rsidRDefault="00000000" w:rsidRPr="00000000" w14:paraId="00000025">
      <w:pPr>
        <w:pStyle w:val="Heading3"/>
        <w:spacing w:after="80" w:before="280" w:lineRule="auto"/>
        <w:ind w:right="0"/>
        <w:rPr>
          <w:rFonts w:ascii="Arial" w:cs="Arial" w:eastAsia="Arial" w:hAnsi="Arial"/>
        </w:rPr>
      </w:pPr>
      <w:bookmarkStart w:colFirst="0" w:colLast="0" w:name="_it2rlxl2mh3q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Appendices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Data: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Any supplementary data, charts, or detailed methods that are relevant to the study.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8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2"/>
          <w:bookmarkEnd w:id="12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A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3"/>
          <w:bookmarkEnd w:id="13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