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Time Travel Quotation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Client Information:</w:t>
        <w:br w:type="textWrapping"/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Doe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+123 456 7890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janedoe@email.com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Travel Details:</w:t>
        <w:br w:type="textWrapping"/>
        <w:t xml:space="preserve">Destination: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Ancient Rome, Circa 100 AD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Departure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December 25, 2025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Return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December 26, 2025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Number of Travelers: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2 (1 adult, 1 child)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Temporal Vessel Details: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ChronoMaster 3000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Departure 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08:00 AM (Local Time)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Return 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08:00 AM (Local Time, +1 Day)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Class: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Temporal Economy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Accommodation: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Lodging: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Villa Romana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Room Type: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Standard Time Traveler Suite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Nights: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Rate Per Night: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30 Denarii (equivalent in contemporary currency: $300)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Accommodation Cost: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$300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Guided Tours and Experiences: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Colosseum Event Pass: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VIP seating at Gladiator Games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Roman Forum Tour: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Guided tour with a historian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Cost for Activities: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$400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Insurance: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Temporal Displacement Coverage: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Ensures return to original time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Historical Anachronism Liability: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Covers potential disruptions in historical timelines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Insurance Cost: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$200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Quotation Cost: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Temporal Vessel Usage: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$2,000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Accommodation: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$300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Guided Tours and Experiences: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$400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Insurance: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$200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Overall Total Cost: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$2,900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Terms and Conditions: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Temporal Compliance: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Adherence to Temporal Prime Directive is mandatory.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Full payment required at booking to secure temporal coordinates.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Cancellations: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Strictly not allowed once temporal journey has commenced.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Prepared By:</w:t>
        <w:br w:type="textWrapping"/>
        <w:t xml:space="preserve">Time Agent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Dr. Maxwell Chronos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Agency: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Quantum Leap Travel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November 14, 2024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