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741b47"/>
          <w:sz w:val="60"/>
          <w:szCs w:val="60"/>
          <w:shd w:fill="fce5cd" w:val="clear"/>
        </w:rPr>
      </w:pPr>
      <w:bookmarkStart w:colFirst="0" w:colLast="0" w:name="_hhevn0icya3z" w:id="0"/>
      <w:bookmarkEnd w:id="0"/>
      <w:r w:rsidDel="00000000" w:rsidR="00000000" w:rsidRPr="00000000">
        <w:rPr>
          <w:rFonts w:ascii="Roboto" w:cs="Roboto" w:eastAsia="Roboto" w:hAnsi="Roboto"/>
          <w:color w:val="741b47"/>
          <w:sz w:val="60"/>
          <w:szCs w:val="60"/>
          <w:shd w:fill="fce5cd" w:val="clear"/>
          <w:rtl w:val="0"/>
        </w:rPr>
        <w:t xml:space="preserve">Chart Of Accounts For Nonprofit</w:t>
      </w:r>
      <w:r w:rsidDel="00000000" w:rsidR="00000000" w:rsidRPr="00000000">
        <w:rPr>
          <w:rtl w:val="0"/>
        </w:rPr>
      </w:r>
    </w:p>
    <w:p w:rsidR="00000000" w:rsidDel="00000000" w:rsidP="00000000" w:rsidRDefault="00000000" w:rsidRPr="00000000" w14:paraId="00000002">
      <w:pPr>
        <w:pStyle w:val="Heading3"/>
        <w:shd w:fill="ffffff" w:val="clear"/>
        <w:spacing w:after="80" w:before="280" w:line="360" w:lineRule="auto"/>
        <w:ind w:right="0"/>
        <w:rPr>
          <w:rFonts w:ascii="Arial" w:cs="Arial" w:eastAsia="Arial" w:hAnsi="Arial"/>
          <w:color w:val="333333"/>
          <w:sz w:val="10"/>
          <w:szCs w:val="10"/>
        </w:rPr>
      </w:pPr>
      <w:bookmarkStart w:colFirst="0" w:colLast="0" w:name="_qz5ol7fzs8ir" w:id="1"/>
      <w:bookmarkEnd w:id="1"/>
      <w:r w:rsidDel="00000000" w:rsidR="00000000" w:rsidRPr="00000000">
        <w:rPr>
          <w:rtl w:val="0"/>
        </w:rPr>
      </w:r>
    </w:p>
    <w:p w:rsidR="00000000" w:rsidDel="00000000" w:rsidP="00000000" w:rsidRDefault="00000000" w:rsidRPr="00000000" w14:paraId="00000003">
      <w:pPr>
        <w:pStyle w:val="Heading3"/>
        <w:shd w:fill="ffffff" w:val="clear"/>
        <w:spacing w:after="80" w:before="280" w:line="360" w:lineRule="auto"/>
        <w:ind w:right="0"/>
        <w:rPr>
          <w:rFonts w:ascii="Arial" w:cs="Arial" w:eastAsia="Arial" w:hAnsi="Arial"/>
          <w:color w:val="333333"/>
        </w:rPr>
      </w:pPr>
      <w:bookmarkStart w:colFirst="0" w:colLast="0" w:name="_pp7c55760ykw" w:id="2"/>
      <w:bookmarkEnd w:id="2"/>
      <w:r w:rsidDel="00000000" w:rsidR="00000000" w:rsidRPr="00000000">
        <w:rPr>
          <w:rFonts w:ascii="Arial" w:cs="Arial" w:eastAsia="Arial" w:hAnsi="Arial"/>
          <w:color w:val="333333"/>
          <w:rtl w:val="0"/>
        </w:rPr>
        <w:t xml:space="preserve">Introduction</w:t>
      </w:r>
    </w:p>
    <w:p w:rsidR="00000000" w:rsidDel="00000000" w:rsidP="00000000" w:rsidRDefault="00000000" w:rsidRPr="00000000" w14:paraId="0000000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Chart of Accounts (CoA) is an essential financial organizational tool for nonprofit organizations, categorizing all transactions into a structured list of accounts. This framework facilitates accurate reporting, budgeting, and compliance with financial standards specific to the nonprofit sector. Below is a sample CoA tailored for a nonprofit organization, encompassing assets, liabilities, net assets, revenues, and expenses.</w:t>
      </w:r>
    </w:p>
    <w:p w:rsidR="00000000" w:rsidDel="00000000" w:rsidP="00000000" w:rsidRDefault="00000000" w:rsidRPr="00000000" w14:paraId="00000005">
      <w:pPr>
        <w:pStyle w:val="Heading3"/>
        <w:shd w:fill="ffffff" w:val="clear"/>
        <w:spacing w:after="80" w:before="280" w:line="360" w:lineRule="auto"/>
        <w:ind w:right="0"/>
        <w:rPr>
          <w:rFonts w:ascii="Arial" w:cs="Arial" w:eastAsia="Arial" w:hAnsi="Arial"/>
          <w:color w:val="333333"/>
        </w:rPr>
      </w:pPr>
      <w:bookmarkStart w:colFirst="0" w:colLast="0" w:name="_3o3fv5h5hu4v" w:id="3"/>
      <w:bookmarkEnd w:id="3"/>
      <w:r w:rsidDel="00000000" w:rsidR="00000000" w:rsidRPr="00000000">
        <w:rPr>
          <w:rFonts w:ascii="Arial" w:cs="Arial" w:eastAsia="Arial" w:hAnsi="Arial"/>
          <w:color w:val="333333"/>
          <w:rtl w:val="0"/>
        </w:rPr>
        <w:t xml:space="preserve">Assets</w:t>
      </w:r>
    </w:p>
    <w:p w:rsidR="00000000" w:rsidDel="00000000" w:rsidP="00000000" w:rsidRDefault="00000000" w:rsidRPr="00000000" w14:paraId="00000006">
      <w:pPr>
        <w:pStyle w:val="Heading4"/>
        <w:shd w:fill="ffffff" w:val="clear"/>
        <w:spacing w:after="40" w:before="240" w:line="360" w:lineRule="auto"/>
        <w:rPr>
          <w:rFonts w:ascii="Arial" w:cs="Arial" w:eastAsia="Arial" w:hAnsi="Arial"/>
          <w:color w:val="333333"/>
          <w:sz w:val="24"/>
          <w:szCs w:val="24"/>
        </w:rPr>
      </w:pPr>
      <w:bookmarkStart w:colFirst="0" w:colLast="0" w:name="_3lf5rtlhijja" w:id="4"/>
      <w:bookmarkEnd w:id="4"/>
      <w:r w:rsidDel="00000000" w:rsidR="00000000" w:rsidRPr="00000000">
        <w:rPr>
          <w:rFonts w:ascii="Arial" w:cs="Arial" w:eastAsia="Arial" w:hAnsi="Arial"/>
          <w:color w:val="333333"/>
          <w:sz w:val="24"/>
          <w:szCs w:val="24"/>
          <w:rtl w:val="0"/>
        </w:rPr>
        <w:t xml:space="preserve">Current Assets</w:t>
      </w:r>
    </w:p>
    <w:p w:rsidR="00000000" w:rsidDel="00000000" w:rsidP="00000000" w:rsidRDefault="00000000" w:rsidRPr="00000000" w14:paraId="00000007">
      <w:pPr>
        <w:numPr>
          <w:ilvl w:val="0"/>
          <w:numId w:val="6"/>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Cash</w:t>
      </w:r>
      <w:r w:rsidDel="00000000" w:rsidR="00000000" w:rsidRPr="00000000">
        <w:rPr>
          <w:rFonts w:ascii="Arial" w:cs="Arial" w:eastAsia="Arial" w:hAnsi="Arial"/>
          <w:color w:val="333333"/>
          <w:sz w:val="24"/>
          <w:szCs w:val="24"/>
          <w:rtl w:val="0"/>
        </w:rPr>
        <w:t xml:space="preserve">: Funds available for immediate use.</w:t>
      </w:r>
    </w:p>
    <w:p w:rsidR="00000000" w:rsidDel="00000000" w:rsidP="00000000" w:rsidRDefault="00000000" w:rsidRPr="00000000" w14:paraId="00000008">
      <w:pPr>
        <w:numPr>
          <w:ilvl w:val="0"/>
          <w:numId w:val="6"/>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Accounts Receivable</w:t>
      </w:r>
      <w:r w:rsidDel="00000000" w:rsidR="00000000" w:rsidRPr="00000000">
        <w:rPr>
          <w:rFonts w:ascii="Arial" w:cs="Arial" w:eastAsia="Arial" w:hAnsi="Arial"/>
          <w:color w:val="333333"/>
          <w:sz w:val="24"/>
          <w:szCs w:val="24"/>
          <w:rtl w:val="0"/>
        </w:rPr>
        <w:t xml:space="preserve">: Money owed to the organization.</w:t>
      </w:r>
    </w:p>
    <w:p w:rsidR="00000000" w:rsidDel="00000000" w:rsidP="00000000" w:rsidRDefault="00000000" w:rsidRPr="00000000" w14:paraId="00000009">
      <w:pPr>
        <w:numPr>
          <w:ilvl w:val="0"/>
          <w:numId w:val="6"/>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Prepaid Expenses</w:t>
      </w:r>
      <w:r w:rsidDel="00000000" w:rsidR="00000000" w:rsidRPr="00000000">
        <w:rPr>
          <w:rFonts w:ascii="Arial" w:cs="Arial" w:eastAsia="Arial" w:hAnsi="Arial"/>
          <w:color w:val="333333"/>
          <w:sz w:val="24"/>
          <w:szCs w:val="24"/>
          <w:rtl w:val="0"/>
        </w:rPr>
        <w:t xml:space="preserve">: Payments made in advance for goods or services.</w:t>
      </w:r>
    </w:p>
    <w:p w:rsidR="00000000" w:rsidDel="00000000" w:rsidP="00000000" w:rsidRDefault="00000000" w:rsidRPr="00000000" w14:paraId="0000000A">
      <w:pPr>
        <w:numPr>
          <w:ilvl w:val="0"/>
          <w:numId w:val="6"/>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Inventory</w:t>
      </w:r>
      <w:r w:rsidDel="00000000" w:rsidR="00000000" w:rsidRPr="00000000">
        <w:rPr>
          <w:rFonts w:ascii="Arial" w:cs="Arial" w:eastAsia="Arial" w:hAnsi="Arial"/>
          <w:color w:val="333333"/>
          <w:sz w:val="24"/>
          <w:szCs w:val="24"/>
          <w:rtl w:val="0"/>
        </w:rPr>
        <w:t xml:space="preserve">: Goods available for sale or distribution.</w:t>
      </w:r>
    </w:p>
    <w:p w:rsidR="00000000" w:rsidDel="00000000" w:rsidP="00000000" w:rsidRDefault="00000000" w:rsidRPr="00000000" w14:paraId="0000000B">
      <w:pPr>
        <w:pStyle w:val="Heading4"/>
        <w:shd w:fill="ffffff" w:val="clear"/>
        <w:spacing w:after="40" w:before="240" w:line="360" w:lineRule="auto"/>
        <w:rPr>
          <w:rFonts w:ascii="Arial" w:cs="Arial" w:eastAsia="Arial" w:hAnsi="Arial"/>
          <w:color w:val="333333"/>
          <w:sz w:val="24"/>
          <w:szCs w:val="24"/>
        </w:rPr>
      </w:pPr>
      <w:bookmarkStart w:colFirst="0" w:colLast="0" w:name="_e88l2j9gco40" w:id="5"/>
      <w:bookmarkEnd w:id="5"/>
      <w:r w:rsidDel="00000000" w:rsidR="00000000" w:rsidRPr="00000000">
        <w:rPr>
          <w:rFonts w:ascii="Arial" w:cs="Arial" w:eastAsia="Arial" w:hAnsi="Arial"/>
          <w:color w:val="333333"/>
          <w:sz w:val="24"/>
          <w:szCs w:val="24"/>
          <w:rtl w:val="0"/>
        </w:rPr>
        <w:t xml:space="preserve">Fixed Assets</w:t>
      </w:r>
    </w:p>
    <w:p w:rsidR="00000000" w:rsidDel="00000000" w:rsidP="00000000" w:rsidRDefault="00000000" w:rsidRPr="00000000" w14:paraId="0000000C">
      <w:pPr>
        <w:numPr>
          <w:ilvl w:val="0"/>
          <w:numId w:val="3"/>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Land and Buildings</w:t>
      </w:r>
      <w:r w:rsidDel="00000000" w:rsidR="00000000" w:rsidRPr="00000000">
        <w:rPr>
          <w:rFonts w:ascii="Arial" w:cs="Arial" w:eastAsia="Arial" w:hAnsi="Arial"/>
          <w:color w:val="333333"/>
          <w:sz w:val="24"/>
          <w:szCs w:val="24"/>
          <w:rtl w:val="0"/>
        </w:rPr>
        <w:t xml:space="preserve">: Property owned by the nonprofit.</w:t>
      </w:r>
    </w:p>
    <w:p w:rsidR="00000000" w:rsidDel="00000000" w:rsidP="00000000" w:rsidRDefault="00000000" w:rsidRPr="00000000" w14:paraId="0000000D">
      <w:pPr>
        <w:numPr>
          <w:ilvl w:val="0"/>
          <w:numId w:val="3"/>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Equipment</w:t>
      </w:r>
      <w:r w:rsidDel="00000000" w:rsidR="00000000" w:rsidRPr="00000000">
        <w:rPr>
          <w:rFonts w:ascii="Arial" w:cs="Arial" w:eastAsia="Arial" w:hAnsi="Arial"/>
          <w:color w:val="333333"/>
          <w:sz w:val="24"/>
          <w:szCs w:val="24"/>
          <w:rtl w:val="0"/>
        </w:rPr>
        <w:t xml:space="preserve">: Office equipment, computers, and other long-term use items.</w:t>
      </w:r>
    </w:p>
    <w:p w:rsidR="00000000" w:rsidDel="00000000" w:rsidP="00000000" w:rsidRDefault="00000000" w:rsidRPr="00000000" w14:paraId="0000000E">
      <w:pPr>
        <w:numPr>
          <w:ilvl w:val="0"/>
          <w:numId w:val="3"/>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Furniture and Fixtures</w:t>
      </w:r>
      <w:r w:rsidDel="00000000" w:rsidR="00000000" w:rsidRPr="00000000">
        <w:rPr>
          <w:rFonts w:ascii="Arial" w:cs="Arial" w:eastAsia="Arial" w:hAnsi="Arial"/>
          <w:color w:val="333333"/>
          <w:sz w:val="24"/>
          <w:szCs w:val="24"/>
          <w:rtl w:val="0"/>
        </w:rPr>
        <w:t xml:space="preserve">: Non-disposable items used for operations.</w:t>
      </w:r>
    </w:p>
    <w:p w:rsidR="00000000" w:rsidDel="00000000" w:rsidP="00000000" w:rsidRDefault="00000000" w:rsidRPr="00000000" w14:paraId="0000000F">
      <w:pPr>
        <w:pStyle w:val="Heading3"/>
        <w:shd w:fill="ffffff" w:val="clear"/>
        <w:spacing w:after="80" w:before="280" w:line="360" w:lineRule="auto"/>
        <w:ind w:right="0"/>
        <w:rPr>
          <w:rFonts w:ascii="Arial" w:cs="Arial" w:eastAsia="Arial" w:hAnsi="Arial"/>
          <w:color w:val="333333"/>
        </w:rPr>
      </w:pPr>
      <w:bookmarkStart w:colFirst="0" w:colLast="0" w:name="_auqoujfncg0" w:id="6"/>
      <w:bookmarkEnd w:id="6"/>
      <w:r w:rsidDel="00000000" w:rsidR="00000000" w:rsidRPr="00000000">
        <w:rPr>
          <w:rFonts w:ascii="Arial" w:cs="Arial" w:eastAsia="Arial" w:hAnsi="Arial"/>
          <w:color w:val="333333"/>
          <w:rtl w:val="0"/>
        </w:rPr>
        <w:t xml:space="preserve">Liabilities</w:t>
      </w:r>
    </w:p>
    <w:p w:rsidR="00000000" w:rsidDel="00000000" w:rsidP="00000000" w:rsidRDefault="00000000" w:rsidRPr="00000000" w14:paraId="00000010">
      <w:pPr>
        <w:pStyle w:val="Heading4"/>
        <w:shd w:fill="ffffff" w:val="clear"/>
        <w:spacing w:after="40" w:before="240" w:line="360" w:lineRule="auto"/>
        <w:rPr>
          <w:rFonts w:ascii="Arial" w:cs="Arial" w:eastAsia="Arial" w:hAnsi="Arial"/>
          <w:color w:val="333333"/>
          <w:sz w:val="24"/>
          <w:szCs w:val="24"/>
        </w:rPr>
      </w:pPr>
      <w:bookmarkStart w:colFirst="0" w:colLast="0" w:name="_d9lg7k1elqpi" w:id="7"/>
      <w:bookmarkEnd w:id="7"/>
      <w:r w:rsidDel="00000000" w:rsidR="00000000" w:rsidRPr="00000000">
        <w:rPr>
          <w:rFonts w:ascii="Arial" w:cs="Arial" w:eastAsia="Arial" w:hAnsi="Arial"/>
          <w:color w:val="333333"/>
          <w:sz w:val="24"/>
          <w:szCs w:val="24"/>
          <w:rtl w:val="0"/>
        </w:rPr>
        <w:t xml:space="preserve">Current Liabilities</w:t>
      </w:r>
    </w:p>
    <w:p w:rsidR="00000000" w:rsidDel="00000000" w:rsidP="00000000" w:rsidRDefault="00000000" w:rsidRPr="00000000" w14:paraId="00000011">
      <w:pPr>
        <w:numPr>
          <w:ilvl w:val="0"/>
          <w:numId w:val="1"/>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Accounts Payable</w:t>
      </w:r>
      <w:r w:rsidDel="00000000" w:rsidR="00000000" w:rsidRPr="00000000">
        <w:rPr>
          <w:rFonts w:ascii="Arial" w:cs="Arial" w:eastAsia="Arial" w:hAnsi="Arial"/>
          <w:color w:val="333333"/>
          <w:sz w:val="24"/>
          <w:szCs w:val="24"/>
          <w:rtl w:val="0"/>
        </w:rPr>
        <w:t xml:space="preserve">: Short-term debts to vendors and service providers.</w:t>
      </w:r>
    </w:p>
    <w:p w:rsidR="00000000" w:rsidDel="00000000" w:rsidP="00000000" w:rsidRDefault="00000000" w:rsidRPr="00000000" w14:paraId="00000012">
      <w:pPr>
        <w:numPr>
          <w:ilvl w:val="0"/>
          <w:numId w:val="1"/>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Accrued Expenses</w:t>
      </w:r>
      <w:r w:rsidDel="00000000" w:rsidR="00000000" w:rsidRPr="00000000">
        <w:rPr>
          <w:rFonts w:ascii="Arial" w:cs="Arial" w:eastAsia="Arial" w:hAnsi="Arial"/>
          <w:color w:val="333333"/>
          <w:sz w:val="24"/>
          <w:szCs w:val="24"/>
          <w:rtl w:val="0"/>
        </w:rPr>
        <w:t xml:space="preserve">: Incurred expenses not yet paid.</w:t>
      </w:r>
    </w:p>
    <w:p w:rsidR="00000000" w:rsidDel="00000000" w:rsidP="00000000" w:rsidRDefault="00000000" w:rsidRPr="00000000" w14:paraId="00000013">
      <w:pPr>
        <w:numPr>
          <w:ilvl w:val="0"/>
          <w:numId w:val="1"/>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Deferred Revenue</w:t>
      </w:r>
      <w:r w:rsidDel="00000000" w:rsidR="00000000" w:rsidRPr="00000000">
        <w:rPr>
          <w:rFonts w:ascii="Arial" w:cs="Arial" w:eastAsia="Arial" w:hAnsi="Arial"/>
          <w:color w:val="333333"/>
          <w:sz w:val="24"/>
          <w:szCs w:val="24"/>
          <w:rtl w:val="0"/>
        </w:rPr>
        <w:t xml:space="preserve">: Income received for services yet to be performed.</w:t>
      </w:r>
    </w:p>
    <w:p w:rsidR="00000000" w:rsidDel="00000000" w:rsidP="00000000" w:rsidRDefault="00000000" w:rsidRPr="00000000" w14:paraId="00000014">
      <w:pPr>
        <w:pStyle w:val="Heading4"/>
        <w:shd w:fill="ffffff" w:val="clear"/>
        <w:spacing w:after="40" w:before="240" w:line="360" w:lineRule="auto"/>
        <w:rPr>
          <w:rFonts w:ascii="Arial" w:cs="Arial" w:eastAsia="Arial" w:hAnsi="Arial"/>
          <w:color w:val="333333"/>
          <w:sz w:val="24"/>
          <w:szCs w:val="24"/>
        </w:rPr>
      </w:pPr>
      <w:bookmarkStart w:colFirst="0" w:colLast="0" w:name="_h723ggoqn1gt" w:id="8"/>
      <w:bookmarkEnd w:id="8"/>
      <w:r w:rsidDel="00000000" w:rsidR="00000000" w:rsidRPr="00000000">
        <w:rPr>
          <w:rFonts w:ascii="Arial" w:cs="Arial" w:eastAsia="Arial" w:hAnsi="Arial"/>
          <w:color w:val="333333"/>
          <w:sz w:val="24"/>
          <w:szCs w:val="24"/>
          <w:rtl w:val="0"/>
        </w:rPr>
        <w:t xml:space="preserve">Long-term Liabilities</w:t>
      </w:r>
    </w:p>
    <w:p w:rsidR="00000000" w:rsidDel="00000000" w:rsidP="00000000" w:rsidRDefault="00000000" w:rsidRPr="00000000" w14:paraId="00000015">
      <w:pPr>
        <w:numPr>
          <w:ilvl w:val="0"/>
          <w:numId w:val="8"/>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Mortgage Payable</w:t>
      </w:r>
      <w:r w:rsidDel="00000000" w:rsidR="00000000" w:rsidRPr="00000000">
        <w:rPr>
          <w:rFonts w:ascii="Arial" w:cs="Arial" w:eastAsia="Arial" w:hAnsi="Arial"/>
          <w:color w:val="333333"/>
          <w:sz w:val="24"/>
          <w:szCs w:val="24"/>
          <w:rtl w:val="0"/>
        </w:rPr>
        <w:t xml:space="preserve">: Long-term obligations for property.</w:t>
      </w:r>
    </w:p>
    <w:p w:rsidR="00000000" w:rsidDel="00000000" w:rsidP="00000000" w:rsidRDefault="00000000" w:rsidRPr="00000000" w14:paraId="00000016">
      <w:pPr>
        <w:numPr>
          <w:ilvl w:val="0"/>
          <w:numId w:val="8"/>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Notes Payable</w:t>
      </w:r>
      <w:r w:rsidDel="00000000" w:rsidR="00000000" w:rsidRPr="00000000">
        <w:rPr>
          <w:rFonts w:ascii="Arial" w:cs="Arial" w:eastAsia="Arial" w:hAnsi="Arial"/>
          <w:color w:val="333333"/>
          <w:sz w:val="24"/>
          <w:szCs w:val="24"/>
          <w:rtl w:val="0"/>
        </w:rPr>
        <w:t xml:space="preserve">: Other long-term debts.</w:t>
      </w:r>
    </w:p>
    <w:p w:rsidR="00000000" w:rsidDel="00000000" w:rsidP="00000000" w:rsidRDefault="00000000" w:rsidRPr="00000000" w14:paraId="00000017">
      <w:pPr>
        <w:pStyle w:val="Heading3"/>
        <w:shd w:fill="ffffff" w:val="clear"/>
        <w:spacing w:after="80" w:before="280" w:line="360" w:lineRule="auto"/>
        <w:ind w:right="0"/>
        <w:rPr>
          <w:rFonts w:ascii="Arial" w:cs="Arial" w:eastAsia="Arial" w:hAnsi="Arial"/>
          <w:color w:val="333333"/>
        </w:rPr>
      </w:pPr>
      <w:bookmarkStart w:colFirst="0" w:colLast="0" w:name="_qzmnd48qmerq" w:id="9"/>
      <w:bookmarkEnd w:id="9"/>
      <w:r w:rsidDel="00000000" w:rsidR="00000000" w:rsidRPr="00000000">
        <w:rPr>
          <w:rFonts w:ascii="Arial" w:cs="Arial" w:eastAsia="Arial" w:hAnsi="Arial"/>
          <w:color w:val="333333"/>
          <w:rtl w:val="0"/>
        </w:rPr>
        <w:t xml:space="preserve">Net Assets</w:t>
      </w:r>
    </w:p>
    <w:p w:rsidR="00000000" w:rsidDel="00000000" w:rsidP="00000000" w:rsidRDefault="00000000" w:rsidRPr="00000000" w14:paraId="00000018">
      <w:pPr>
        <w:numPr>
          <w:ilvl w:val="0"/>
          <w:numId w:val="2"/>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Unrestricted Net Assets</w:t>
      </w:r>
      <w:r w:rsidDel="00000000" w:rsidR="00000000" w:rsidRPr="00000000">
        <w:rPr>
          <w:rFonts w:ascii="Arial" w:cs="Arial" w:eastAsia="Arial" w:hAnsi="Arial"/>
          <w:color w:val="333333"/>
          <w:sz w:val="24"/>
          <w:szCs w:val="24"/>
          <w:rtl w:val="0"/>
        </w:rPr>
        <w:t xml:space="preserve">: Resources available for general use without donor-imposed restrictions.</w:t>
      </w:r>
    </w:p>
    <w:p w:rsidR="00000000" w:rsidDel="00000000" w:rsidP="00000000" w:rsidRDefault="00000000" w:rsidRPr="00000000" w14:paraId="00000019">
      <w:pPr>
        <w:numPr>
          <w:ilvl w:val="0"/>
          <w:numId w:val="2"/>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Temporarily Restricted Net Assets</w:t>
      </w:r>
      <w:r w:rsidDel="00000000" w:rsidR="00000000" w:rsidRPr="00000000">
        <w:rPr>
          <w:rFonts w:ascii="Arial" w:cs="Arial" w:eastAsia="Arial" w:hAnsi="Arial"/>
          <w:color w:val="333333"/>
          <w:sz w:val="24"/>
          <w:szCs w:val="24"/>
          <w:rtl w:val="0"/>
        </w:rPr>
        <w:t xml:space="preserve">: Resources restricted by donors for specific purposes or time frames.</w:t>
      </w:r>
    </w:p>
    <w:p w:rsidR="00000000" w:rsidDel="00000000" w:rsidP="00000000" w:rsidRDefault="00000000" w:rsidRPr="00000000" w14:paraId="0000001A">
      <w:pPr>
        <w:numPr>
          <w:ilvl w:val="0"/>
          <w:numId w:val="2"/>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Permanently Restricted Net Assets</w:t>
      </w:r>
      <w:r w:rsidDel="00000000" w:rsidR="00000000" w:rsidRPr="00000000">
        <w:rPr>
          <w:rFonts w:ascii="Arial" w:cs="Arial" w:eastAsia="Arial" w:hAnsi="Arial"/>
          <w:color w:val="333333"/>
          <w:sz w:val="24"/>
          <w:szCs w:val="24"/>
          <w:rtl w:val="0"/>
        </w:rPr>
        <w:t xml:space="preserve">: Endowment funds that must be maintained permanently, not used for general operations.</w:t>
      </w:r>
    </w:p>
    <w:p w:rsidR="00000000" w:rsidDel="00000000" w:rsidP="00000000" w:rsidRDefault="00000000" w:rsidRPr="00000000" w14:paraId="0000001B">
      <w:pPr>
        <w:pStyle w:val="Heading3"/>
        <w:shd w:fill="ffffff" w:val="clear"/>
        <w:spacing w:after="80" w:before="280" w:line="360" w:lineRule="auto"/>
        <w:ind w:right="0"/>
        <w:rPr>
          <w:rFonts w:ascii="Arial" w:cs="Arial" w:eastAsia="Arial" w:hAnsi="Arial"/>
          <w:color w:val="333333"/>
        </w:rPr>
      </w:pPr>
      <w:bookmarkStart w:colFirst="0" w:colLast="0" w:name="_lo0uc5pbwry0" w:id="10"/>
      <w:bookmarkEnd w:id="10"/>
      <w:r w:rsidDel="00000000" w:rsidR="00000000" w:rsidRPr="00000000">
        <w:rPr>
          <w:rFonts w:ascii="Arial" w:cs="Arial" w:eastAsia="Arial" w:hAnsi="Arial"/>
          <w:color w:val="333333"/>
          <w:rtl w:val="0"/>
        </w:rPr>
        <w:t xml:space="preserve">Revenues</w:t>
      </w:r>
    </w:p>
    <w:p w:rsidR="00000000" w:rsidDel="00000000" w:rsidP="00000000" w:rsidRDefault="00000000" w:rsidRPr="00000000" w14:paraId="0000001C">
      <w:pPr>
        <w:numPr>
          <w:ilvl w:val="0"/>
          <w:numId w:val="4"/>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Contributions and Donations</w:t>
      </w:r>
      <w:r w:rsidDel="00000000" w:rsidR="00000000" w:rsidRPr="00000000">
        <w:rPr>
          <w:rFonts w:ascii="Arial" w:cs="Arial" w:eastAsia="Arial" w:hAnsi="Arial"/>
          <w:color w:val="333333"/>
          <w:sz w:val="24"/>
          <w:szCs w:val="24"/>
          <w:rtl w:val="0"/>
        </w:rPr>
        <w:t xml:space="preserve">: Funds received from donors.</w:t>
      </w:r>
    </w:p>
    <w:p w:rsidR="00000000" w:rsidDel="00000000" w:rsidP="00000000" w:rsidRDefault="00000000" w:rsidRPr="00000000" w14:paraId="0000001D">
      <w:pPr>
        <w:numPr>
          <w:ilvl w:val="0"/>
          <w:numId w:val="4"/>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Grants</w:t>
      </w:r>
      <w:r w:rsidDel="00000000" w:rsidR="00000000" w:rsidRPr="00000000">
        <w:rPr>
          <w:rFonts w:ascii="Arial" w:cs="Arial" w:eastAsia="Arial" w:hAnsi="Arial"/>
          <w:color w:val="333333"/>
          <w:sz w:val="24"/>
          <w:szCs w:val="24"/>
          <w:rtl w:val="0"/>
        </w:rPr>
        <w:t xml:space="preserve">: Funds received from governmental and private grants.</w:t>
      </w:r>
    </w:p>
    <w:p w:rsidR="00000000" w:rsidDel="00000000" w:rsidP="00000000" w:rsidRDefault="00000000" w:rsidRPr="00000000" w14:paraId="0000001E">
      <w:pPr>
        <w:numPr>
          <w:ilvl w:val="0"/>
          <w:numId w:val="4"/>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Membership Dues</w:t>
      </w:r>
      <w:r w:rsidDel="00000000" w:rsidR="00000000" w:rsidRPr="00000000">
        <w:rPr>
          <w:rFonts w:ascii="Arial" w:cs="Arial" w:eastAsia="Arial" w:hAnsi="Arial"/>
          <w:color w:val="333333"/>
          <w:sz w:val="24"/>
          <w:szCs w:val="24"/>
          <w:rtl w:val="0"/>
        </w:rPr>
        <w:t xml:space="preserve">: Income from membership fees.</w:t>
      </w:r>
    </w:p>
    <w:p w:rsidR="00000000" w:rsidDel="00000000" w:rsidP="00000000" w:rsidRDefault="00000000" w:rsidRPr="00000000" w14:paraId="0000001F">
      <w:pPr>
        <w:numPr>
          <w:ilvl w:val="0"/>
          <w:numId w:val="4"/>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Program Service Revenues</w:t>
      </w:r>
      <w:r w:rsidDel="00000000" w:rsidR="00000000" w:rsidRPr="00000000">
        <w:rPr>
          <w:rFonts w:ascii="Arial" w:cs="Arial" w:eastAsia="Arial" w:hAnsi="Arial"/>
          <w:color w:val="333333"/>
          <w:sz w:val="24"/>
          <w:szCs w:val="24"/>
          <w:rtl w:val="0"/>
        </w:rPr>
        <w:t xml:space="preserve">: Income from services provided by the nonprofit.</w:t>
      </w:r>
    </w:p>
    <w:p w:rsidR="00000000" w:rsidDel="00000000" w:rsidP="00000000" w:rsidRDefault="00000000" w:rsidRPr="00000000" w14:paraId="00000020">
      <w:pPr>
        <w:numPr>
          <w:ilvl w:val="0"/>
          <w:numId w:val="4"/>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Special Events Revenue</w:t>
      </w:r>
      <w:r w:rsidDel="00000000" w:rsidR="00000000" w:rsidRPr="00000000">
        <w:rPr>
          <w:rFonts w:ascii="Arial" w:cs="Arial" w:eastAsia="Arial" w:hAnsi="Arial"/>
          <w:color w:val="333333"/>
          <w:sz w:val="24"/>
          <w:szCs w:val="24"/>
          <w:rtl w:val="0"/>
        </w:rPr>
        <w:t xml:space="preserve">: Funds raised from events, net of direct expenses.</w:t>
      </w:r>
    </w:p>
    <w:p w:rsidR="00000000" w:rsidDel="00000000" w:rsidP="00000000" w:rsidRDefault="00000000" w:rsidRPr="00000000" w14:paraId="00000021">
      <w:pPr>
        <w:numPr>
          <w:ilvl w:val="0"/>
          <w:numId w:val="4"/>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Investment Income</w:t>
      </w:r>
      <w:r w:rsidDel="00000000" w:rsidR="00000000" w:rsidRPr="00000000">
        <w:rPr>
          <w:rFonts w:ascii="Arial" w:cs="Arial" w:eastAsia="Arial" w:hAnsi="Arial"/>
          <w:color w:val="333333"/>
          <w:sz w:val="24"/>
          <w:szCs w:val="24"/>
          <w:rtl w:val="0"/>
        </w:rPr>
        <w:t xml:space="preserve">: Earnings from investments.</w:t>
      </w:r>
    </w:p>
    <w:p w:rsidR="00000000" w:rsidDel="00000000" w:rsidP="00000000" w:rsidRDefault="00000000" w:rsidRPr="00000000" w14:paraId="00000022">
      <w:pPr>
        <w:pStyle w:val="Heading3"/>
        <w:shd w:fill="ffffff" w:val="clear"/>
        <w:spacing w:after="80" w:before="280" w:line="360" w:lineRule="auto"/>
        <w:ind w:right="0"/>
        <w:rPr>
          <w:rFonts w:ascii="Arial" w:cs="Arial" w:eastAsia="Arial" w:hAnsi="Arial"/>
          <w:color w:val="333333"/>
        </w:rPr>
      </w:pPr>
      <w:bookmarkStart w:colFirst="0" w:colLast="0" w:name="_ij1373j8g1u7" w:id="11"/>
      <w:bookmarkEnd w:id="11"/>
      <w:r w:rsidDel="00000000" w:rsidR="00000000" w:rsidRPr="00000000">
        <w:rPr>
          <w:rFonts w:ascii="Arial" w:cs="Arial" w:eastAsia="Arial" w:hAnsi="Arial"/>
          <w:color w:val="333333"/>
          <w:rtl w:val="0"/>
        </w:rPr>
        <w:t xml:space="preserve">Expenses</w:t>
      </w:r>
    </w:p>
    <w:p w:rsidR="00000000" w:rsidDel="00000000" w:rsidP="00000000" w:rsidRDefault="00000000" w:rsidRPr="00000000" w14:paraId="00000023">
      <w:pPr>
        <w:pStyle w:val="Heading4"/>
        <w:shd w:fill="ffffff" w:val="clear"/>
        <w:spacing w:after="40" w:before="240" w:line="360" w:lineRule="auto"/>
        <w:rPr>
          <w:rFonts w:ascii="Arial" w:cs="Arial" w:eastAsia="Arial" w:hAnsi="Arial"/>
          <w:color w:val="333333"/>
          <w:sz w:val="24"/>
          <w:szCs w:val="24"/>
        </w:rPr>
      </w:pPr>
      <w:bookmarkStart w:colFirst="0" w:colLast="0" w:name="_4az4i9b1n40p" w:id="12"/>
      <w:bookmarkEnd w:id="12"/>
      <w:r w:rsidDel="00000000" w:rsidR="00000000" w:rsidRPr="00000000">
        <w:rPr>
          <w:rFonts w:ascii="Arial" w:cs="Arial" w:eastAsia="Arial" w:hAnsi="Arial"/>
          <w:color w:val="333333"/>
          <w:sz w:val="24"/>
          <w:szCs w:val="24"/>
          <w:rtl w:val="0"/>
        </w:rPr>
        <w:t xml:space="preserve">Program Expenses</w:t>
      </w:r>
    </w:p>
    <w:p w:rsidR="00000000" w:rsidDel="00000000" w:rsidP="00000000" w:rsidRDefault="00000000" w:rsidRPr="00000000" w14:paraId="00000024">
      <w:pPr>
        <w:numPr>
          <w:ilvl w:val="0"/>
          <w:numId w:val="5"/>
        </w:numPr>
        <w:shd w:fill="ffffff" w:val="clear"/>
        <w:spacing w:after="240" w:before="240" w:line="360" w:lineRule="auto"/>
        <w:ind w:left="720" w:hanging="360"/>
        <w:rPr/>
      </w:pPr>
      <w:r w:rsidDel="00000000" w:rsidR="00000000" w:rsidRPr="00000000">
        <w:rPr>
          <w:rFonts w:ascii="Arial" w:cs="Arial" w:eastAsia="Arial" w:hAnsi="Arial"/>
          <w:b w:val="1"/>
          <w:color w:val="333333"/>
          <w:sz w:val="24"/>
          <w:szCs w:val="24"/>
          <w:rtl w:val="0"/>
        </w:rPr>
        <w:t xml:space="preserve">Program Services</w:t>
      </w:r>
      <w:r w:rsidDel="00000000" w:rsidR="00000000" w:rsidRPr="00000000">
        <w:rPr>
          <w:rFonts w:ascii="Arial" w:cs="Arial" w:eastAsia="Arial" w:hAnsi="Arial"/>
          <w:color w:val="333333"/>
          <w:sz w:val="24"/>
          <w:szCs w:val="24"/>
          <w:rtl w:val="0"/>
        </w:rPr>
        <w:t xml:space="preserve">: Costs directly related to fulfilling the nonprofit's mission.</w:t>
      </w:r>
    </w:p>
    <w:p w:rsidR="00000000" w:rsidDel="00000000" w:rsidP="00000000" w:rsidRDefault="00000000" w:rsidRPr="00000000" w14:paraId="00000025">
      <w:pPr>
        <w:pStyle w:val="Heading4"/>
        <w:shd w:fill="ffffff" w:val="clear"/>
        <w:spacing w:after="40" w:before="240" w:line="360" w:lineRule="auto"/>
        <w:rPr>
          <w:rFonts w:ascii="Arial" w:cs="Arial" w:eastAsia="Arial" w:hAnsi="Arial"/>
          <w:color w:val="333333"/>
          <w:sz w:val="24"/>
          <w:szCs w:val="24"/>
        </w:rPr>
      </w:pPr>
      <w:bookmarkStart w:colFirst="0" w:colLast="0" w:name="_nf0p12p3iy8t" w:id="13"/>
      <w:bookmarkEnd w:id="13"/>
      <w:r w:rsidDel="00000000" w:rsidR="00000000" w:rsidRPr="00000000">
        <w:rPr>
          <w:rFonts w:ascii="Arial" w:cs="Arial" w:eastAsia="Arial" w:hAnsi="Arial"/>
          <w:color w:val="333333"/>
          <w:sz w:val="24"/>
          <w:szCs w:val="24"/>
          <w:rtl w:val="0"/>
        </w:rPr>
        <w:t xml:space="preserve">Supporting Services</w:t>
      </w:r>
    </w:p>
    <w:p w:rsidR="00000000" w:rsidDel="00000000" w:rsidP="00000000" w:rsidRDefault="00000000" w:rsidRPr="00000000" w14:paraId="00000026">
      <w:pPr>
        <w:numPr>
          <w:ilvl w:val="0"/>
          <w:numId w:val="9"/>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Management and General</w:t>
      </w:r>
      <w:r w:rsidDel="00000000" w:rsidR="00000000" w:rsidRPr="00000000">
        <w:rPr>
          <w:rFonts w:ascii="Arial" w:cs="Arial" w:eastAsia="Arial" w:hAnsi="Arial"/>
          <w:color w:val="333333"/>
          <w:sz w:val="24"/>
          <w:szCs w:val="24"/>
          <w:rtl w:val="0"/>
        </w:rPr>
        <w:t xml:space="preserve">: Administrative and operational expenses.</w:t>
      </w:r>
    </w:p>
    <w:p w:rsidR="00000000" w:rsidDel="00000000" w:rsidP="00000000" w:rsidRDefault="00000000" w:rsidRPr="00000000" w14:paraId="00000027">
      <w:pPr>
        <w:numPr>
          <w:ilvl w:val="0"/>
          <w:numId w:val="9"/>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Fundraising</w:t>
      </w:r>
      <w:r w:rsidDel="00000000" w:rsidR="00000000" w:rsidRPr="00000000">
        <w:rPr>
          <w:rFonts w:ascii="Arial" w:cs="Arial" w:eastAsia="Arial" w:hAnsi="Arial"/>
          <w:color w:val="333333"/>
          <w:sz w:val="24"/>
          <w:szCs w:val="24"/>
          <w:rtl w:val="0"/>
        </w:rPr>
        <w:t xml:space="preserve">: Costs associated with raising funds.</w:t>
      </w:r>
    </w:p>
    <w:p w:rsidR="00000000" w:rsidDel="00000000" w:rsidP="00000000" w:rsidRDefault="00000000" w:rsidRPr="00000000" w14:paraId="00000028">
      <w:pPr>
        <w:pStyle w:val="Heading4"/>
        <w:shd w:fill="ffffff" w:val="clear"/>
        <w:spacing w:after="40" w:before="240" w:line="360" w:lineRule="auto"/>
        <w:rPr>
          <w:rFonts w:ascii="Arial" w:cs="Arial" w:eastAsia="Arial" w:hAnsi="Arial"/>
          <w:color w:val="333333"/>
          <w:sz w:val="24"/>
          <w:szCs w:val="24"/>
        </w:rPr>
      </w:pPr>
      <w:bookmarkStart w:colFirst="0" w:colLast="0" w:name="_4pac6glzqj1z" w:id="14"/>
      <w:bookmarkEnd w:id="14"/>
      <w:r w:rsidDel="00000000" w:rsidR="00000000" w:rsidRPr="00000000">
        <w:rPr>
          <w:rFonts w:ascii="Arial" w:cs="Arial" w:eastAsia="Arial" w:hAnsi="Arial"/>
          <w:color w:val="333333"/>
          <w:sz w:val="24"/>
          <w:szCs w:val="24"/>
          <w:rtl w:val="0"/>
        </w:rPr>
        <w:t xml:space="preserve">Other Expenses</w:t>
      </w:r>
    </w:p>
    <w:p w:rsidR="00000000" w:rsidDel="00000000" w:rsidP="00000000" w:rsidRDefault="00000000" w:rsidRPr="00000000" w14:paraId="00000029">
      <w:pPr>
        <w:numPr>
          <w:ilvl w:val="0"/>
          <w:numId w:val="7"/>
        </w:numPr>
        <w:shd w:fill="ffffff" w:val="clear"/>
        <w:spacing w:after="240" w:before="240" w:line="360" w:lineRule="auto"/>
        <w:ind w:left="720" w:hanging="360"/>
        <w:rPr/>
      </w:pPr>
      <w:r w:rsidDel="00000000" w:rsidR="00000000" w:rsidRPr="00000000">
        <w:rPr>
          <w:rFonts w:ascii="Arial" w:cs="Arial" w:eastAsia="Arial" w:hAnsi="Arial"/>
          <w:b w:val="1"/>
          <w:color w:val="333333"/>
          <w:sz w:val="24"/>
          <w:szCs w:val="24"/>
          <w:rtl w:val="0"/>
        </w:rPr>
        <w:t xml:space="preserve">Depreciation</w:t>
      </w:r>
      <w:r w:rsidDel="00000000" w:rsidR="00000000" w:rsidRPr="00000000">
        <w:rPr>
          <w:rFonts w:ascii="Arial" w:cs="Arial" w:eastAsia="Arial" w:hAnsi="Arial"/>
          <w:color w:val="333333"/>
          <w:sz w:val="24"/>
          <w:szCs w:val="24"/>
          <w:rtl w:val="0"/>
        </w:rPr>
        <w:t xml:space="preserve">: Expense related to the reduction in value of fixed assets.</w:t>
      </w:r>
    </w:p>
    <w:p w:rsidR="00000000" w:rsidDel="00000000" w:rsidP="00000000" w:rsidRDefault="00000000" w:rsidRPr="00000000" w14:paraId="0000002A">
      <w:pPr>
        <w:pStyle w:val="Heading3"/>
        <w:shd w:fill="ffffff" w:val="clear"/>
        <w:spacing w:after="80" w:before="280" w:line="360" w:lineRule="auto"/>
        <w:ind w:right="0"/>
        <w:rPr>
          <w:rFonts w:ascii="Arial" w:cs="Arial" w:eastAsia="Arial" w:hAnsi="Arial"/>
          <w:color w:val="333333"/>
        </w:rPr>
      </w:pPr>
      <w:bookmarkStart w:colFirst="0" w:colLast="0" w:name="_6zf2x23vif9l" w:id="15"/>
      <w:bookmarkEnd w:id="15"/>
      <w:r w:rsidDel="00000000" w:rsidR="00000000" w:rsidRPr="00000000">
        <w:rPr>
          <w:rFonts w:ascii="Arial" w:cs="Arial" w:eastAsia="Arial" w:hAnsi="Arial"/>
          <w:color w:val="333333"/>
          <w:rtl w:val="0"/>
        </w:rPr>
        <w:t xml:space="preserve">Conclusion</w:t>
      </w:r>
    </w:p>
    <w:p w:rsidR="00000000" w:rsidDel="00000000" w:rsidP="00000000" w:rsidRDefault="00000000" w:rsidRPr="00000000" w14:paraId="0000002B">
      <w:pPr>
        <w:shd w:fill="ffffff" w:val="clea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This Chart of Accounts provides a foundation for nonprofit organizations to systematically track and report their financial transactions. By categorizing assets, liabilities, net assets, revenues, and expenses, nonprofits can ensure financial transparency, meet reporting requirements, and effectively manage their resources to achieve their mission. Regular reviews and updates to the CoA are recommended to reflect changes in operations and financial practices.</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5"/>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4"/>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4"/>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