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20124d"/>
          <w:sz w:val="60"/>
          <w:szCs w:val="60"/>
        </w:rPr>
      </w:pPr>
      <w:bookmarkStart w:colFirst="0" w:colLast="0" w:name="_2gazcsgmxkub" w:id="0"/>
      <w:bookmarkEnd w:id="0"/>
      <w:r w:rsidDel="00000000" w:rsidR="00000000" w:rsidRPr="00000000">
        <w:rPr>
          <w:rFonts w:ascii="Roboto" w:cs="Roboto" w:eastAsia="Roboto" w:hAnsi="Roboto"/>
          <w:color w:val="20124d"/>
          <w:sz w:val="60"/>
          <w:szCs w:val="60"/>
          <w:rtl w:val="0"/>
        </w:rPr>
        <w:t xml:space="preserve">Chart of Accounts For Household</w:t>
      </w:r>
    </w:p>
    <w:p w:rsidR="00000000" w:rsidDel="00000000" w:rsidP="00000000" w:rsidRDefault="00000000" w:rsidRPr="00000000" w14:paraId="00000003">
      <w:pPr>
        <w:pStyle w:val="Heading3"/>
        <w:shd w:fill="ffffff" w:val="clear"/>
        <w:spacing w:after="80" w:before="280" w:line="360" w:lineRule="auto"/>
        <w:rPr>
          <w:rFonts w:ascii="Arial" w:cs="Arial" w:eastAsia="Arial" w:hAnsi="Arial"/>
          <w:b w:val="1"/>
          <w:color w:val="333333"/>
          <w:sz w:val="10"/>
          <w:szCs w:val="10"/>
        </w:rPr>
      </w:pPr>
      <w:bookmarkStart w:colFirst="0" w:colLast="0" w:name="_qflnwj1oszpe" w:id="1"/>
      <w:bookmarkEnd w:id="1"/>
      <w:r w:rsidDel="00000000" w:rsidR="00000000" w:rsidRPr="00000000">
        <w:rPr>
          <w:rtl w:val="0"/>
        </w:rPr>
      </w:r>
    </w:p>
    <w:p w:rsidR="00000000" w:rsidDel="00000000" w:rsidP="00000000" w:rsidRDefault="00000000" w:rsidRPr="00000000" w14:paraId="00000004">
      <w:pPr>
        <w:pStyle w:val="Heading3"/>
        <w:shd w:fill="ffffff" w:val="clear"/>
        <w:spacing w:after="80" w:before="280" w:line="360" w:lineRule="auto"/>
        <w:rPr>
          <w:rFonts w:ascii="Arial" w:cs="Arial" w:eastAsia="Arial" w:hAnsi="Arial"/>
          <w:b w:val="1"/>
          <w:color w:val="333333"/>
          <w:sz w:val="24"/>
          <w:szCs w:val="24"/>
        </w:rPr>
      </w:pPr>
      <w:bookmarkStart w:colFirst="0" w:colLast="0" w:name="_ogboihisr891" w:id="2"/>
      <w:bookmarkEnd w:id="2"/>
      <w:r w:rsidDel="00000000" w:rsidR="00000000" w:rsidRPr="00000000">
        <w:rPr>
          <w:rFonts w:ascii="Arial" w:cs="Arial" w:eastAsia="Arial" w:hAnsi="Arial"/>
          <w:b w:val="1"/>
          <w:color w:val="333333"/>
          <w:sz w:val="24"/>
          <w:szCs w:val="24"/>
          <w:rtl w:val="0"/>
        </w:rPr>
        <w:t xml:space="preserve">Executive Summary</w:t>
      </w:r>
    </w:p>
    <w:p w:rsidR="00000000" w:rsidDel="00000000" w:rsidP="00000000" w:rsidRDefault="00000000" w:rsidRPr="00000000" w14:paraId="00000005">
      <w:pPr>
        <w:shd w:fill="ffffff" w:val="clea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 Chart of Accounts (CoA) for household finance management is a structured list of all financial accounts used in the household's accounting system. It categorizes financial transactions into assets, liabilities, income, and expenses, enabling efficient tracking and management of household finances. This document outlines a sample CoA, designed to help households organize their finances for better clarity and control.</w:t>
      </w:r>
    </w:p>
    <w:p w:rsidR="00000000" w:rsidDel="00000000" w:rsidP="00000000" w:rsidRDefault="00000000" w:rsidRPr="00000000" w14:paraId="00000006">
      <w:pPr>
        <w:pStyle w:val="Heading3"/>
        <w:shd w:fill="ffffff" w:val="clear"/>
        <w:spacing w:after="80" w:before="280" w:line="360" w:lineRule="auto"/>
        <w:rPr>
          <w:rFonts w:ascii="Arial" w:cs="Arial" w:eastAsia="Arial" w:hAnsi="Arial"/>
          <w:b w:val="1"/>
          <w:color w:val="333333"/>
          <w:sz w:val="24"/>
          <w:szCs w:val="24"/>
        </w:rPr>
      </w:pPr>
      <w:bookmarkStart w:colFirst="0" w:colLast="0" w:name="_9dffud6md4v2" w:id="3"/>
      <w:bookmarkEnd w:id="3"/>
      <w:r w:rsidDel="00000000" w:rsidR="00000000" w:rsidRPr="00000000">
        <w:rPr>
          <w:rFonts w:ascii="Arial" w:cs="Arial" w:eastAsia="Arial" w:hAnsi="Arial"/>
          <w:b w:val="1"/>
          <w:color w:val="333333"/>
          <w:sz w:val="24"/>
          <w:szCs w:val="24"/>
          <w:rtl w:val="0"/>
        </w:rPr>
        <w:t xml:space="preserve">Assets</w:t>
      </w:r>
    </w:p>
    <w:p w:rsidR="00000000" w:rsidDel="00000000" w:rsidP="00000000" w:rsidRDefault="00000000" w:rsidRPr="00000000" w14:paraId="00000007">
      <w:pPr>
        <w:pStyle w:val="Heading4"/>
        <w:keepNext w:val="0"/>
        <w:keepLines w:val="0"/>
        <w:shd w:fill="ffffff" w:val="clear"/>
        <w:spacing w:after="40" w:before="240" w:line="360" w:lineRule="auto"/>
        <w:rPr>
          <w:rFonts w:ascii="Arial" w:cs="Arial" w:eastAsia="Arial" w:hAnsi="Arial"/>
          <w:b w:val="1"/>
          <w:color w:val="333333"/>
          <w:sz w:val="24"/>
          <w:szCs w:val="24"/>
          <w:u w:val="none"/>
        </w:rPr>
      </w:pPr>
      <w:bookmarkStart w:colFirst="0" w:colLast="0" w:name="_pu94d3u5pit6" w:id="4"/>
      <w:bookmarkEnd w:id="4"/>
      <w:r w:rsidDel="00000000" w:rsidR="00000000" w:rsidRPr="00000000">
        <w:rPr>
          <w:rFonts w:ascii="Arial" w:cs="Arial" w:eastAsia="Arial" w:hAnsi="Arial"/>
          <w:b w:val="1"/>
          <w:color w:val="333333"/>
          <w:sz w:val="24"/>
          <w:szCs w:val="24"/>
          <w:u w:val="none"/>
          <w:rtl w:val="0"/>
        </w:rPr>
        <w:t xml:space="preserve">Current Assets</w:t>
      </w:r>
    </w:p>
    <w:p w:rsidR="00000000" w:rsidDel="00000000" w:rsidP="00000000" w:rsidRDefault="00000000" w:rsidRPr="00000000" w14:paraId="00000008">
      <w:pPr>
        <w:numPr>
          <w:ilvl w:val="0"/>
          <w:numId w:val="3"/>
        </w:numPr>
        <w:shd w:fill="ffffff" w:val="clea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Cash on Hand</w:t>
      </w:r>
      <w:r w:rsidDel="00000000" w:rsidR="00000000" w:rsidRPr="00000000">
        <w:rPr>
          <w:rFonts w:ascii="Arial" w:cs="Arial" w:eastAsia="Arial" w:hAnsi="Arial"/>
          <w:color w:val="333333"/>
          <w:sz w:val="24"/>
          <w:szCs w:val="24"/>
          <w:rtl w:val="0"/>
        </w:rPr>
        <w:t xml:space="preserve">: Money available in physical form.</w:t>
      </w:r>
    </w:p>
    <w:p w:rsidR="00000000" w:rsidDel="00000000" w:rsidP="00000000" w:rsidRDefault="00000000" w:rsidRPr="00000000" w14:paraId="00000009">
      <w:pPr>
        <w:numPr>
          <w:ilvl w:val="0"/>
          <w:numId w:val="3"/>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Checking Account</w:t>
      </w:r>
      <w:r w:rsidDel="00000000" w:rsidR="00000000" w:rsidRPr="00000000">
        <w:rPr>
          <w:rFonts w:ascii="Arial" w:cs="Arial" w:eastAsia="Arial" w:hAnsi="Arial"/>
          <w:color w:val="333333"/>
          <w:sz w:val="24"/>
          <w:szCs w:val="24"/>
          <w:rtl w:val="0"/>
        </w:rPr>
        <w:t xml:space="preserve">: Daily operational bank account.</w:t>
      </w:r>
    </w:p>
    <w:p w:rsidR="00000000" w:rsidDel="00000000" w:rsidP="00000000" w:rsidRDefault="00000000" w:rsidRPr="00000000" w14:paraId="0000000A">
      <w:pPr>
        <w:numPr>
          <w:ilvl w:val="0"/>
          <w:numId w:val="3"/>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Savings Account</w:t>
      </w:r>
      <w:r w:rsidDel="00000000" w:rsidR="00000000" w:rsidRPr="00000000">
        <w:rPr>
          <w:rFonts w:ascii="Arial" w:cs="Arial" w:eastAsia="Arial" w:hAnsi="Arial"/>
          <w:color w:val="333333"/>
          <w:sz w:val="24"/>
          <w:szCs w:val="24"/>
          <w:rtl w:val="0"/>
        </w:rPr>
        <w:t xml:space="preserve">: Account for emergency funds and savings.</w:t>
      </w:r>
    </w:p>
    <w:p w:rsidR="00000000" w:rsidDel="00000000" w:rsidP="00000000" w:rsidRDefault="00000000" w:rsidRPr="00000000" w14:paraId="0000000B">
      <w:pPr>
        <w:numPr>
          <w:ilvl w:val="0"/>
          <w:numId w:val="3"/>
        </w:numPr>
        <w:shd w:fill="ffffff" w:val="clea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Investments</w:t>
      </w:r>
      <w:r w:rsidDel="00000000" w:rsidR="00000000" w:rsidRPr="00000000">
        <w:rPr>
          <w:rFonts w:ascii="Arial" w:cs="Arial" w:eastAsia="Arial" w:hAnsi="Arial"/>
          <w:color w:val="333333"/>
          <w:sz w:val="24"/>
          <w:szCs w:val="24"/>
          <w:rtl w:val="0"/>
        </w:rPr>
        <w:t xml:space="preserve">: Stocks, bonds, and other investment vehicles.</w:t>
      </w:r>
    </w:p>
    <w:p w:rsidR="00000000" w:rsidDel="00000000" w:rsidP="00000000" w:rsidRDefault="00000000" w:rsidRPr="00000000" w14:paraId="0000000C">
      <w:pPr>
        <w:pStyle w:val="Heading4"/>
        <w:keepNext w:val="0"/>
        <w:keepLines w:val="0"/>
        <w:shd w:fill="ffffff" w:val="clear"/>
        <w:spacing w:after="40" w:before="240" w:line="360" w:lineRule="auto"/>
        <w:rPr>
          <w:rFonts w:ascii="Arial" w:cs="Arial" w:eastAsia="Arial" w:hAnsi="Arial"/>
          <w:b w:val="1"/>
          <w:color w:val="333333"/>
          <w:sz w:val="24"/>
          <w:szCs w:val="24"/>
          <w:u w:val="none"/>
        </w:rPr>
      </w:pPr>
      <w:bookmarkStart w:colFirst="0" w:colLast="0" w:name="_ng1wbuoap6tx" w:id="5"/>
      <w:bookmarkEnd w:id="5"/>
      <w:r w:rsidDel="00000000" w:rsidR="00000000" w:rsidRPr="00000000">
        <w:rPr>
          <w:rFonts w:ascii="Arial" w:cs="Arial" w:eastAsia="Arial" w:hAnsi="Arial"/>
          <w:b w:val="1"/>
          <w:color w:val="333333"/>
          <w:sz w:val="24"/>
          <w:szCs w:val="24"/>
          <w:u w:val="none"/>
          <w:rtl w:val="0"/>
        </w:rPr>
        <w:t xml:space="preserve">Long-term Assets</w:t>
      </w:r>
    </w:p>
    <w:p w:rsidR="00000000" w:rsidDel="00000000" w:rsidP="00000000" w:rsidRDefault="00000000" w:rsidRPr="00000000" w14:paraId="0000000D">
      <w:pPr>
        <w:numPr>
          <w:ilvl w:val="0"/>
          <w:numId w:val="6"/>
        </w:numPr>
        <w:shd w:fill="ffffff" w:val="clea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Retirement Accounts</w:t>
      </w:r>
      <w:r w:rsidDel="00000000" w:rsidR="00000000" w:rsidRPr="00000000">
        <w:rPr>
          <w:rFonts w:ascii="Arial" w:cs="Arial" w:eastAsia="Arial" w:hAnsi="Arial"/>
          <w:color w:val="333333"/>
          <w:sz w:val="24"/>
          <w:szCs w:val="24"/>
          <w:rtl w:val="0"/>
        </w:rPr>
        <w:t xml:space="preserve">: 401(k), IRA, and other retirement savings.</w:t>
      </w:r>
    </w:p>
    <w:p w:rsidR="00000000" w:rsidDel="00000000" w:rsidP="00000000" w:rsidRDefault="00000000" w:rsidRPr="00000000" w14:paraId="0000000E">
      <w:pPr>
        <w:numPr>
          <w:ilvl w:val="0"/>
          <w:numId w:val="6"/>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Real Estate</w:t>
      </w:r>
      <w:r w:rsidDel="00000000" w:rsidR="00000000" w:rsidRPr="00000000">
        <w:rPr>
          <w:rFonts w:ascii="Arial" w:cs="Arial" w:eastAsia="Arial" w:hAnsi="Arial"/>
          <w:color w:val="333333"/>
          <w:sz w:val="24"/>
          <w:szCs w:val="24"/>
          <w:rtl w:val="0"/>
        </w:rPr>
        <w:t xml:space="preserve">: Property owned by the household.</w:t>
      </w:r>
    </w:p>
    <w:p w:rsidR="00000000" w:rsidDel="00000000" w:rsidP="00000000" w:rsidRDefault="00000000" w:rsidRPr="00000000" w14:paraId="0000000F">
      <w:pPr>
        <w:numPr>
          <w:ilvl w:val="0"/>
          <w:numId w:val="6"/>
        </w:numPr>
        <w:shd w:fill="ffffff" w:val="clea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Personal Property</w:t>
      </w:r>
      <w:r w:rsidDel="00000000" w:rsidR="00000000" w:rsidRPr="00000000">
        <w:rPr>
          <w:rFonts w:ascii="Arial" w:cs="Arial" w:eastAsia="Arial" w:hAnsi="Arial"/>
          <w:color w:val="333333"/>
          <w:sz w:val="24"/>
          <w:szCs w:val="24"/>
          <w:rtl w:val="0"/>
        </w:rPr>
        <w:t xml:space="preserve">: High-value items like cars, jewelry.</w:t>
      </w:r>
    </w:p>
    <w:p w:rsidR="00000000" w:rsidDel="00000000" w:rsidP="00000000" w:rsidRDefault="00000000" w:rsidRPr="00000000" w14:paraId="00000010">
      <w:pPr>
        <w:pStyle w:val="Heading3"/>
        <w:shd w:fill="ffffff" w:val="clear"/>
        <w:spacing w:after="80" w:before="280" w:line="360" w:lineRule="auto"/>
        <w:rPr>
          <w:rFonts w:ascii="Arial" w:cs="Arial" w:eastAsia="Arial" w:hAnsi="Arial"/>
          <w:b w:val="1"/>
          <w:color w:val="333333"/>
          <w:sz w:val="24"/>
          <w:szCs w:val="24"/>
        </w:rPr>
      </w:pPr>
      <w:bookmarkStart w:colFirst="0" w:colLast="0" w:name="_tso3zzi4ev6f" w:id="6"/>
      <w:bookmarkEnd w:id="6"/>
      <w:r w:rsidDel="00000000" w:rsidR="00000000" w:rsidRPr="00000000">
        <w:rPr>
          <w:rFonts w:ascii="Arial" w:cs="Arial" w:eastAsia="Arial" w:hAnsi="Arial"/>
          <w:b w:val="1"/>
          <w:color w:val="333333"/>
          <w:sz w:val="24"/>
          <w:szCs w:val="24"/>
          <w:rtl w:val="0"/>
        </w:rPr>
        <w:t xml:space="preserve">Liabilities</w:t>
      </w:r>
    </w:p>
    <w:p w:rsidR="00000000" w:rsidDel="00000000" w:rsidP="00000000" w:rsidRDefault="00000000" w:rsidRPr="00000000" w14:paraId="00000011">
      <w:pPr>
        <w:pStyle w:val="Heading4"/>
        <w:keepNext w:val="0"/>
        <w:keepLines w:val="0"/>
        <w:shd w:fill="ffffff" w:val="clear"/>
        <w:spacing w:after="40" w:before="240" w:line="360" w:lineRule="auto"/>
        <w:rPr>
          <w:rFonts w:ascii="Arial" w:cs="Arial" w:eastAsia="Arial" w:hAnsi="Arial"/>
          <w:b w:val="1"/>
          <w:color w:val="333333"/>
          <w:sz w:val="24"/>
          <w:szCs w:val="24"/>
          <w:u w:val="none"/>
        </w:rPr>
      </w:pPr>
      <w:bookmarkStart w:colFirst="0" w:colLast="0" w:name="_rxhgd8i9mmbs" w:id="7"/>
      <w:bookmarkEnd w:id="7"/>
      <w:r w:rsidDel="00000000" w:rsidR="00000000" w:rsidRPr="00000000">
        <w:rPr>
          <w:rFonts w:ascii="Arial" w:cs="Arial" w:eastAsia="Arial" w:hAnsi="Arial"/>
          <w:b w:val="1"/>
          <w:color w:val="333333"/>
          <w:sz w:val="24"/>
          <w:szCs w:val="24"/>
          <w:u w:val="none"/>
          <w:rtl w:val="0"/>
        </w:rPr>
        <w:t xml:space="preserve">Current Liabilities</w:t>
      </w:r>
    </w:p>
    <w:p w:rsidR="00000000" w:rsidDel="00000000" w:rsidP="00000000" w:rsidRDefault="00000000" w:rsidRPr="00000000" w14:paraId="00000012">
      <w:pPr>
        <w:numPr>
          <w:ilvl w:val="0"/>
          <w:numId w:val="1"/>
        </w:numPr>
        <w:shd w:fill="ffffff" w:val="clea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Credit Card Balances</w:t>
      </w:r>
      <w:r w:rsidDel="00000000" w:rsidR="00000000" w:rsidRPr="00000000">
        <w:rPr>
          <w:rFonts w:ascii="Arial" w:cs="Arial" w:eastAsia="Arial" w:hAnsi="Arial"/>
          <w:color w:val="333333"/>
          <w:sz w:val="24"/>
          <w:szCs w:val="24"/>
          <w:rtl w:val="0"/>
        </w:rPr>
        <w:t xml:space="preserve">: Outstanding credit card debts.</w:t>
      </w:r>
    </w:p>
    <w:p w:rsidR="00000000" w:rsidDel="00000000" w:rsidP="00000000" w:rsidRDefault="00000000" w:rsidRPr="00000000" w14:paraId="00000013">
      <w:pPr>
        <w:numPr>
          <w:ilvl w:val="0"/>
          <w:numId w:val="1"/>
        </w:numPr>
        <w:shd w:fill="ffffff" w:val="clea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Utility Bills Payable</w:t>
      </w:r>
      <w:r w:rsidDel="00000000" w:rsidR="00000000" w:rsidRPr="00000000">
        <w:rPr>
          <w:rFonts w:ascii="Arial" w:cs="Arial" w:eastAsia="Arial" w:hAnsi="Arial"/>
          <w:color w:val="333333"/>
          <w:sz w:val="24"/>
          <w:szCs w:val="24"/>
          <w:rtl w:val="0"/>
        </w:rPr>
        <w:t xml:space="preserve">: Unpaid utility bills (electricity, water, internet).</w:t>
      </w:r>
    </w:p>
    <w:p w:rsidR="00000000" w:rsidDel="00000000" w:rsidP="00000000" w:rsidRDefault="00000000" w:rsidRPr="00000000" w14:paraId="00000014">
      <w:pPr>
        <w:pStyle w:val="Heading4"/>
        <w:keepNext w:val="0"/>
        <w:keepLines w:val="0"/>
        <w:shd w:fill="ffffff" w:val="clear"/>
        <w:spacing w:after="40" w:before="240" w:line="360" w:lineRule="auto"/>
        <w:rPr>
          <w:rFonts w:ascii="Arial" w:cs="Arial" w:eastAsia="Arial" w:hAnsi="Arial"/>
          <w:b w:val="1"/>
          <w:color w:val="333333"/>
          <w:sz w:val="24"/>
          <w:szCs w:val="24"/>
          <w:u w:val="none"/>
        </w:rPr>
      </w:pPr>
      <w:bookmarkStart w:colFirst="0" w:colLast="0" w:name="_xynnaygr0ibz" w:id="8"/>
      <w:bookmarkEnd w:id="8"/>
      <w:r w:rsidDel="00000000" w:rsidR="00000000" w:rsidRPr="00000000">
        <w:rPr>
          <w:rFonts w:ascii="Arial" w:cs="Arial" w:eastAsia="Arial" w:hAnsi="Arial"/>
          <w:b w:val="1"/>
          <w:color w:val="333333"/>
          <w:sz w:val="24"/>
          <w:szCs w:val="24"/>
          <w:u w:val="none"/>
          <w:rtl w:val="0"/>
        </w:rPr>
        <w:t xml:space="preserve">Long-term Liabilities</w:t>
      </w:r>
    </w:p>
    <w:p w:rsidR="00000000" w:rsidDel="00000000" w:rsidP="00000000" w:rsidRDefault="00000000" w:rsidRPr="00000000" w14:paraId="00000015">
      <w:pPr>
        <w:numPr>
          <w:ilvl w:val="0"/>
          <w:numId w:val="4"/>
        </w:numPr>
        <w:shd w:fill="ffffff" w:val="clea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Mortgage</w:t>
      </w:r>
      <w:r w:rsidDel="00000000" w:rsidR="00000000" w:rsidRPr="00000000">
        <w:rPr>
          <w:rFonts w:ascii="Arial" w:cs="Arial" w:eastAsia="Arial" w:hAnsi="Arial"/>
          <w:color w:val="333333"/>
          <w:sz w:val="24"/>
          <w:szCs w:val="24"/>
          <w:rtl w:val="0"/>
        </w:rPr>
        <w:t xml:space="preserve">: Home loan balance.</w:t>
      </w:r>
    </w:p>
    <w:p w:rsidR="00000000" w:rsidDel="00000000" w:rsidP="00000000" w:rsidRDefault="00000000" w:rsidRPr="00000000" w14:paraId="00000016">
      <w:pPr>
        <w:numPr>
          <w:ilvl w:val="0"/>
          <w:numId w:val="4"/>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Auto Loans</w:t>
      </w:r>
      <w:r w:rsidDel="00000000" w:rsidR="00000000" w:rsidRPr="00000000">
        <w:rPr>
          <w:rFonts w:ascii="Arial" w:cs="Arial" w:eastAsia="Arial" w:hAnsi="Arial"/>
          <w:color w:val="333333"/>
          <w:sz w:val="24"/>
          <w:szCs w:val="24"/>
          <w:rtl w:val="0"/>
        </w:rPr>
        <w:t xml:space="preserve">: Outstanding car loan balances.</w:t>
      </w:r>
    </w:p>
    <w:p w:rsidR="00000000" w:rsidDel="00000000" w:rsidP="00000000" w:rsidRDefault="00000000" w:rsidRPr="00000000" w14:paraId="00000017">
      <w:pPr>
        <w:numPr>
          <w:ilvl w:val="0"/>
          <w:numId w:val="4"/>
        </w:numPr>
        <w:shd w:fill="ffffff" w:val="clea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Student Loans</w:t>
      </w:r>
      <w:r w:rsidDel="00000000" w:rsidR="00000000" w:rsidRPr="00000000">
        <w:rPr>
          <w:rFonts w:ascii="Arial" w:cs="Arial" w:eastAsia="Arial" w:hAnsi="Arial"/>
          <w:color w:val="333333"/>
          <w:sz w:val="24"/>
          <w:szCs w:val="24"/>
          <w:rtl w:val="0"/>
        </w:rPr>
        <w:t xml:space="preserve">: Unpaid student loan debt.</w:t>
      </w:r>
    </w:p>
    <w:p w:rsidR="00000000" w:rsidDel="00000000" w:rsidP="00000000" w:rsidRDefault="00000000" w:rsidRPr="00000000" w14:paraId="00000018">
      <w:pPr>
        <w:pStyle w:val="Heading3"/>
        <w:shd w:fill="ffffff" w:val="clear"/>
        <w:spacing w:after="80" w:before="280" w:line="360" w:lineRule="auto"/>
        <w:rPr>
          <w:rFonts w:ascii="Arial" w:cs="Arial" w:eastAsia="Arial" w:hAnsi="Arial"/>
          <w:b w:val="1"/>
          <w:color w:val="333333"/>
          <w:sz w:val="24"/>
          <w:szCs w:val="24"/>
        </w:rPr>
      </w:pPr>
      <w:bookmarkStart w:colFirst="0" w:colLast="0" w:name="_swozh8ds9uzn" w:id="9"/>
      <w:bookmarkEnd w:id="9"/>
      <w:r w:rsidDel="00000000" w:rsidR="00000000" w:rsidRPr="00000000">
        <w:rPr>
          <w:rFonts w:ascii="Arial" w:cs="Arial" w:eastAsia="Arial" w:hAnsi="Arial"/>
          <w:b w:val="1"/>
          <w:color w:val="333333"/>
          <w:sz w:val="24"/>
          <w:szCs w:val="24"/>
          <w:rtl w:val="0"/>
        </w:rPr>
        <w:t xml:space="preserve">Income</w:t>
      </w:r>
    </w:p>
    <w:p w:rsidR="00000000" w:rsidDel="00000000" w:rsidP="00000000" w:rsidRDefault="00000000" w:rsidRPr="00000000" w14:paraId="00000019">
      <w:pPr>
        <w:numPr>
          <w:ilvl w:val="0"/>
          <w:numId w:val="7"/>
        </w:numPr>
        <w:shd w:fill="ffffff" w:val="clea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Salaries and Wages</w:t>
      </w:r>
      <w:r w:rsidDel="00000000" w:rsidR="00000000" w:rsidRPr="00000000">
        <w:rPr>
          <w:rFonts w:ascii="Arial" w:cs="Arial" w:eastAsia="Arial" w:hAnsi="Arial"/>
          <w:color w:val="333333"/>
          <w:sz w:val="24"/>
          <w:szCs w:val="24"/>
          <w:rtl w:val="0"/>
        </w:rPr>
        <w:t xml:space="preserve">: Income from employment.</w:t>
      </w:r>
    </w:p>
    <w:p w:rsidR="00000000" w:rsidDel="00000000" w:rsidP="00000000" w:rsidRDefault="00000000" w:rsidRPr="00000000" w14:paraId="0000001A">
      <w:pPr>
        <w:numPr>
          <w:ilvl w:val="0"/>
          <w:numId w:val="7"/>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Investment Income</w:t>
      </w:r>
      <w:r w:rsidDel="00000000" w:rsidR="00000000" w:rsidRPr="00000000">
        <w:rPr>
          <w:rFonts w:ascii="Arial" w:cs="Arial" w:eastAsia="Arial" w:hAnsi="Arial"/>
          <w:color w:val="333333"/>
          <w:sz w:val="24"/>
          <w:szCs w:val="24"/>
          <w:rtl w:val="0"/>
        </w:rPr>
        <w:t xml:space="preserve">: Dividends, interest, and other earnings from investments.</w:t>
      </w:r>
    </w:p>
    <w:p w:rsidR="00000000" w:rsidDel="00000000" w:rsidP="00000000" w:rsidRDefault="00000000" w:rsidRPr="00000000" w14:paraId="0000001B">
      <w:pPr>
        <w:numPr>
          <w:ilvl w:val="0"/>
          <w:numId w:val="7"/>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Rental Income</w:t>
      </w:r>
      <w:r w:rsidDel="00000000" w:rsidR="00000000" w:rsidRPr="00000000">
        <w:rPr>
          <w:rFonts w:ascii="Arial" w:cs="Arial" w:eastAsia="Arial" w:hAnsi="Arial"/>
          <w:color w:val="333333"/>
          <w:sz w:val="24"/>
          <w:szCs w:val="24"/>
          <w:rtl w:val="0"/>
        </w:rPr>
        <w:t xml:space="preserve">: Income from renting out property.</w:t>
      </w:r>
    </w:p>
    <w:p w:rsidR="00000000" w:rsidDel="00000000" w:rsidP="00000000" w:rsidRDefault="00000000" w:rsidRPr="00000000" w14:paraId="0000001C">
      <w:pPr>
        <w:numPr>
          <w:ilvl w:val="0"/>
          <w:numId w:val="7"/>
        </w:numPr>
        <w:shd w:fill="ffffff" w:val="clea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Miscellaneous Income</w:t>
      </w:r>
      <w:r w:rsidDel="00000000" w:rsidR="00000000" w:rsidRPr="00000000">
        <w:rPr>
          <w:rFonts w:ascii="Arial" w:cs="Arial" w:eastAsia="Arial" w:hAnsi="Arial"/>
          <w:color w:val="333333"/>
          <w:sz w:val="24"/>
          <w:szCs w:val="24"/>
          <w:rtl w:val="0"/>
        </w:rPr>
        <w:t xml:space="preserve">: Any other income (gifts, tax refunds).</w:t>
      </w:r>
    </w:p>
    <w:p w:rsidR="00000000" w:rsidDel="00000000" w:rsidP="00000000" w:rsidRDefault="00000000" w:rsidRPr="00000000" w14:paraId="0000001D">
      <w:pPr>
        <w:pStyle w:val="Heading3"/>
        <w:shd w:fill="ffffff" w:val="clear"/>
        <w:spacing w:after="80" w:before="280" w:line="360" w:lineRule="auto"/>
        <w:rPr>
          <w:rFonts w:ascii="Arial" w:cs="Arial" w:eastAsia="Arial" w:hAnsi="Arial"/>
          <w:b w:val="1"/>
          <w:color w:val="333333"/>
          <w:sz w:val="24"/>
          <w:szCs w:val="24"/>
        </w:rPr>
      </w:pPr>
      <w:bookmarkStart w:colFirst="0" w:colLast="0" w:name="_kqx4aybx7r46" w:id="10"/>
      <w:bookmarkEnd w:id="10"/>
      <w:r w:rsidDel="00000000" w:rsidR="00000000" w:rsidRPr="00000000">
        <w:rPr>
          <w:rFonts w:ascii="Arial" w:cs="Arial" w:eastAsia="Arial" w:hAnsi="Arial"/>
          <w:b w:val="1"/>
          <w:color w:val="333333"/>
          <w:sz w:val="24"/>
          <w:szCs w:val="24"/>
          <w:rtl w:val="0"/>
        </w:rPr>
        <w:t xml:space="preserve">Expenses</w:t>
      </w:r>
    </w:p>
    <w:p w:rsidR="00000000" w:rsidDel="00000000" w:rsidP="00000000" w:rsidRDefault="00000000" w:rsidRPr="00000000" w14:paraId="0000001E">
      <w:pPr>
        <w:pStyle w:val="Heading4"/>
        <w:keepNext w:val="0"/>
        <w:keepLines w:val="0"/>
        <w:shd w:fill="ffffff" w:val="clear"/>
        <w:spacing w:after="40" w:before="240" w:line="360" w:lineRule="auto"/>
        <w:rPr>
          <w:rFonts w:ascii="Arial" w:cs="Arial" w:eastAsia="Arial" w:hAnsi="Arial"/>
          <w:b w:val="1"/>
          <w:color w:val="333333"/>
          <w:sz w:val="24"/>
          <w:szCs w:val="24"/>
          <w:u w:val="none"/>
        </w:rPr>
      </w:pPr>
      <w:bookmarkStart w:colFirst="0" w:colLast="0" w:name="_dgpo2oqwa7js" w:id="11"/>
      <w:bookmarkEnd w:id="11"/>
      <w:r w:rsidDel="00000000" w:rsidR="00000000" w:rsidRPr="00000000">
        <w:rPr>
          <w:rFonts w:ascii="Arial" w:cs="Arial" w:eastAsia="Arial" w:hAnsi="Arial"/>
          <w:b w:val="1"/>
          <w:color w:val="333333"/>
          <w:sz w:val="24"/>
          <w:szCs w:val="24"/>
          <w:u w:val="none"/>
          <w:rtl w:val="0"/>
        </w:rPr>
        <w:t xml:space="preserve">Fixed Expenses</w:t>
      </w:r>
    </w:p>
    <w:p w:rsidR="00000000" w:rsidDel="00000000" w:rsidP="00000000" w:rsidRDefault="00000000" w:rsidRPr="00000000" w14:paraId="0000001F">
      <w:pPr>
        <w:numPr>
          <w:ilvl w:val="0"/>
          <w:numId w:val="5"/>
        </w:numPr>
        <w:shd w:fill="ffffff" w:val="clea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Mortgage or Rent</w:t>
      </w:r>
      <w:r w:rsidDel="00000000" w:rsidR="00000000" w:rsidRPr="00000000">
        <w:rPr>
          <w:rFonts w:ascii="Arial" w:cs="Arial" w:eastAsia="Arial" w:hAnsi="Arial"/>
          <w:color w:val="333333"/>
          <w:sz w:val="24"/>
          <w:szCs w:val="24"/>
          <w:rtl w:val="0"/>
        </w:rPr>
        <w:t xml:space="preserve">: Monthly housing payment.</w:t>
      </w:r>
    </w:p>
    <w:p w:rsidR="00000000" w:rsidDel="00000000" w:rsidP="00000000" w:rsidRDefault="00000000" w:rsidRPr="00000000" w14:paraId="00000020">
      <w:pPr>
        <w:numPr>
          <w:ilvl w:val="0"/>
          <w:numId w:val="5"/>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Insurance Premiums</w:t>
      </w:r>
      <w:r w:rsidDel="00000000" w:rsidR="00000000" w:rsidRPr="00000000">
        <w:rPr>
          <w:rFonts w:ascii="Arial" w:cs="Arial" w:eastAsia="Arial" w:hAnsi="Arial"/>
          <w:color w:val="333333"/>
          <w:sz w:val="24"/>
          <w:szCs w:val="24"/>
          <w:rtl w:val="0"/>
        </w:rPr>
        <w:t xml:space="preserve">: Home, auto, health insurance payments.</w:t>
      </w:r>
    </w:p>
    <w:p w:rsidR="00000000" w:rsidDel="00000000" w:rsidP="00000000" w:rsidRDefault="00000000" w:rsidRPr="00000000" w14:paraId="00000021">
      <w:pPr>
        <w:numPr>
          <w:ilvl w:val="0"/>
          <w:numId w:val="5"/>
        </w:numPr>
        <w:shd w:fill="ffffff" w:val="clea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Loan Payments</w:t>
      </w:r>
      <w:r w:rsidDel="00000000" w:rsidR="00000000" w:rsidRPr="00000000">
        <w:rPr>
          <w:rFonts w:ascii="Arial" w:cs="Arial" w:eastAsia="Arial" w:hAnsi="Arial"/>
          <w:color w:val="333333"/>
          <w:sz w:val="24"/>
          <w:szCs w:val="24"/>
          <w:rtl w:val="0"/>
        </w:rPr>
        <w:t xml:space="preserve">: Monthly payments for loans other than the mortgage.</w:t>
      </w:r>
    </w:p>
    <w:p w:rsidR="00000000" w:rsidDel="00000000" w:rsidP="00000000" w:rsidRDefault="00000000" w:rsidRPr="00000000" w14:paraId="00000022">
      <w:pPr>
        <w:pStyle w:val="Heading4"/>
        <w:keepNext w:val="0"/>
        <w:keepLines w:val="0"/>
        <w:shd w:fill="ffffff" w:val="clear"/>
        <w:spacing w:after="40" w:before="240" w:line="360" w:lineRule="auto"/>
        <w:rPr>
          <w:rFonts w:ascii="Arial" w:cs="Arial" w:eastAsia="Arial" w:hAnsi="Arial"/>
          <w:b w:val="1"/>
          <w:color w:val="333333"/>
          <w:sz w:val="24"/>
          <w:szCs w:val="24"/>
          <w:u w:val="none"/>
        </w:rPr>
      </w:pPr>
      <w:bookmarkStart w:colFirst="0" w:colLast="0" w:name="_5v7jpqeocgxw" w:id="12"/>
      <w:bookmarkEnd w:id="12"/>
      <w:r w:rsidDel="00000000" w:rsidR="00000000" w:rsidRPr="00000000">
        <w:rPr>
          <w:rFonts w:ascii="Arial" w:cs="Arial" w:eastAsia="Arial" w:hAnsi="Arial"/>
          <w:b w:val="1"/>
          <w:color w:val="333333"/>
          <w:sz w:val="24"/>
          <w:szCs w:val="24"/>
          <w:u w:val="none"/>
          <w:rtl w:val="0"/>
        </w:rPr>
        <w:t xml:space="preserve">Variable Expenses</w:t>
      </w:r>
    </w:p>
    <w:p w:rsidR="00000000" w:rsidDel="00000000" w:rsidP="00000000" w:rsidRDefault="00000000" w:rsidRPr="00000000" w14:paraId="00000023">
      <w:pPr>
        <w:numPr>
          <w:ilvl w:val="0"/>
          <w:numId w:val="2"/>
        </w:numPr>
        <w:shd w:fill="ffffff" w:val="clea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Utilities</w:t>
      </w:r>
      <w:r w:rsidDel="00000000" w:rsidR="00000000" w:rsidRPr="00000000">
        <w:rPr>
          <w:rFonts w:ascii="Arial" w:cs="Arial" w:eastAsia="Arial" w:hAnsi="Arial"/>
          <w:color w:val="333333"/>
          <w:sz w:val="24"/>
          <w:szCs w:val="24"/>
          <w:rtl w:val="0"/>
        </w:rPr>
        <w:t xml:space="preserve">: Electricity, gas, water, internet, and phone bills.</w:t>
      </w:r>
    </w:p>
    <w:p w:rsidR="00000000" w:rsidDel="00000000" w:rsidP="00000000" w:rsidRDefault="00000000" w:rsidRPr="00000000" w14:paraId="00000024">
      <w:pPr>
        <w:numPr>
          <w:ilvl w:val="0"/>
          <w:numId w:val="2"/>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Groceries</w:t>
      </w:r>
      <w:r w:rsidDel="00000000" w:rsidR="00000000" w:rsidRPr="00000000">
        <w:rPr>
          <w:rFonts w:ascii="Arial" w:cs="Arial" w:eastAsia="Arial" w:hAnsi="Arial"/>
          <w:color w:val="333333"/>
          <w:sz w:val="24"/>
          <w:szCs w:val="24"/>
          <w:rtl w:val="0"/>
        </w:rPr>
        <w:t xml:space="preserve">: Food and household supplies.</w:t>
      </w:r>
    </w:p>
    <w:p w:rsidR="00000000" w:rsidDel="00000000" w:rsidP="00000000" w:rsidRDefault="00000000" w:rsidRPr="00000000" w14:paraId="00000025">
      <w:pPr>
        <w:numPr>
          <w:ilvl w:val="0"/>
          <w:numId w:val="2"/>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Transportation</w:t>
      </w:r>
      <w:r w:rsidDel="00000000" w:rsidR="00000000" w:rsidRPr="00000000">
        <w:rPr>
          <w:rFonts w:ascii="Arial" w:cs="Arial" w:eastAsia="Arial" w:hAnsi="Arial"/>
          <w:color w:val="333333"/>
          <w:sz w:val="24"/>
          <w:szCs w:val="24"/>
          <w:rtl w:val="0"/>
        </w:rPr>
        <w:t xml:space="preserve">: Gasoline, public transit costs, auto maintenance.</w:t>
      </w:r>
    </w:p>
    <w:p w:rsidR="00000000" w:rsidDel="00000000" w:rsidP="00000000" w:rsidRDefault="00000000" w:rsidRPr="00000000" w14:paraId="00000026">
      <w:pPr>
        <w:numPr>
          <w:ilvl w:val="0"/>
          <w:numId w:val="2"/>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Entertainment</w:t>
      </w:r>
      <w:r w:rsidDel="00000000" w:rsidR="00000000" w:rsidRPr="00000000">
        <w:rPr>
          <w:rFonts w:ascii="Arial" w:cs="Arial" w:eastAsia="Arial" w:hAnsi="Arial"/>
          <w:color w:val="333333"/>
          <w:sz w:val="24"/>
          <w:szCs w:val="24"/>
          <w:rtl w:val="0"/>
        </w:rPr>
        <w:t xml:space="preserve">: Movies, dining out, subscriptions.</w:t>
      </w:r>
    </w:p>
    <w:p w:rsidR="00000000" w:rsidDel="00000000" w:rsidP="00000000" w:rsidRDefault="00000000" w:rsidRPr="00000000" w14:paraId="00000027">
      <w:pPr>
        <w:numPr>
          <w:ilvl w:val="0"/>
          <w:numId w:val="2"/>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Healthcare</w:t>
      </w:r>
      <w:r w:rsidDel="00000000" w:rsidR="00000000" w:rsidRPr="00000000">
        <w:rPr>
          <w:rFonts w:ascii="Arial" w:cs="Arial" w:eastAsia="Arial" w:hAnsi="Arial"/>
          <w:color w:val="333333"/>
          <w:sz w:val="24"/>
          <w:szCs w:val="24"/>
          <w:rtl w:val="0"/>
        </w:rPr>
        <w:t xml:space="preserve">: Out-of-pocket medical expenses, medications.</w:t>
      </w:r>
    </w:p>
    <w:p w:rsidR="00000000" w:rsidDel="00000000" w:rsidP="00000000" w:rsidRDefault="00000000" w:rsidRPr="00000000" w14:paraId="00000028">
      <w:pPr>
        <w:numPr>
          <w:ilvl w:val="0"/>
          <w:numId w:val="2"/>
        </w:numPr>
        <w:shd w:fill="ffffff" w:val="clea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Education</w:t>
      </w:r>
      <w:r w:rsidDel="00000000" w:rsidR="00000000" w:rsidRPr="00000000">
        <w:rPr>
          <w:rFonts w:ascii="Arial" w:cs="Arial" w:eastAsia="Arial" w:hAnsi="Arial"/>
          <w:color w:val="333333"/>
          <w:sz w:val="24"/>
          <w:szCs w:val="24"/>
          <w:rtl w:val="0"/>
        </w:rPr>
        <w:t xml:space="preserve">: Tuition, books, school supplies.</w:t>
      </w:r>
    </w:p>
    <w:p w:rsidR="00000000" w:rsidDel="00000000" w:rsidP="00000000" w:rsidRDefault="00000000" w:rsidRPr="00000000" w14:paraId="00000029">
      <w:pPr>
        <w:numPr>
          <w:ilvl w:val="0"/>
          <w:numId w:val="2"/>
        </w:numPr>
        <w:shd w:fill="ffffff" w:val="clea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Savings and Investments</w:t>
      </w:r>
      <w:r w:rsidDel="00000000" w:rsidR="00000000" w:rsidRPr="00000000">
        <w:rPr>
          <w:rFonts w:ascii="Arial" w:cs="Arial" w:eastAsia="Arial" w:hAnsi="Arial"/>
          <w:color w:val="333333"/>
          <w:sz w:val="24"/>
          <w:szCs w:val="24"/>
          <w:rtl w:val="0"/>
        </w:rPr>
        <w:t xml:space="preserve">: Contributions to savings accounts and investment funds.</w:t>
      </w:r>
    </w:p>
    <w:p w:rsidR="00000000" w:rsidDel="00000000" w:rsidP="00000000" w:rsidRDefault="00000000" w:rsidRPr="00000000" w14:paraId="0000002A">
      <w:pPr>
        <w:pStyle w:val="Heading3"/>
        <w:shd w:fill="ffffff" w:val="clear"/>
        <w:spacing w:after="80" w:before="280" w:line="360" w:lineRule="auto"/>
        <w:rPr>
          <w:rFonts w:ascii="Arial" w:cs="Arial" w:eastAsia="Arial" w:hAnsi="Arial"/>
          <w:b w:val="1"/>
          <w:color w:val="333333"/>
          <w:sz w:val="24"/>
          <w:szCs w:val="24"/>
        </w:rPr>
      </w:pPr>
      <w:bookmarkStart w:colFirst="0" w:colLast="0" w:name="_wii1vkbnggjm" w:id="13"/>
      <w:bookmarkEnd w:id="13"/>
      <w:r w:rsidDel="00000000" w:rsidR="00000000" w:rsidRPr="00000000">
        <w:rPr>
          <w:rFonts w:ascii="Arial" w:cs="Arial" w:eastAsia="Arial" w:hAnsi="Arial"/>
          <w:b w:val="1"/>
          <w:color w:val="333333"/>
          <w:sz w:val="24"/>
          <w:szCs w:val="24"/>
          <w:rtl w:val="0"/>
        </w:rPr>
        <w:t xml:space="preserve">Conclusion</w:t>
      </w:r>
    </w:p>
    <w:p w:rsidR="00000000" w:rsidDel="00000000" w:rsidP="00000000" w:rsidRDefault="00000000" w:rsidRPr="00000000" w14:paraId="0000002B">
      <w:pPr>
        <w:shd w:fill="ffffff" w:val="clea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This Chart of Accounts provides a comprehensive framework for managing household finances. By categorizing financial transactions into these accounts, households can gain a clearer understanding of their financial health, enabling better budgeting, saving, and investment decisions. Regularly reviewing and updating the CoA ensures it remains aligned with the household's financial goals and circumstances.</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4"/>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3"/>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5"/>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