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1c4587"/>
          <w:sz w:val="60"/>
          <w:szCs w:val="60"/>
        </w:rPr>
      </w:pPr>
      <w:bookmarkStart w:colFirst="0" w:colLast="0" w:name="_lntg56ljm653" w:id="0"/>
      <w:bookmarkEnd w:id="0"/>
      <w:r w:rsidDel="00000000" w:rsidR="00000000" w:rsidRPr="00000000">
        <w:rPr>
          <w:rFonts w:ascii="Roboto" w:cs="Roboto" w:eastAsia="Roboto" w:hAnsi="Roboto"/>
          <w:b w:val="1"/>
          <w:color w:val="1c4587"/>
          <w:sz w:val="60"/>
          <w:szCs w:val="60"/>
          <w:rtl w:val="0"/>
        </w:rPr>
        <w:t xml:space="preserve">Chart Of Accounts For Construction Company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well-structured Chart of Accounts (CoA) is crucial for construction companies, given the industry's project-centric nature and the complexity of tracking costs and revenues for multiple simultaneous projects. This CoA facilitates accurate financial reporting, budgeting, and project cost management, ensuring compliance with accounting standards and regulations.</w:t>
      </w:r>
    </w:p>
    <w:p w:rsidR="00000000" w:rsidDel="00000000" w:rsidP="00000000" w:rsidRDefault="00000000" w:rsidRPr="00000000" w14:paraId="00000004">
      <w:pPr>
        <w:pStyle w:val="Heading3"/>
        <w:keepNext w:val="0"/>
        <w:keepLines w:val="0"/>
        <w:shd w:fill="ffffff" w:val="clear"/>
        <w:spacing w:after="80" w:before="280" w:lineRule="auto"/>
        <w:rPr>
          <w:rFonts w:ascii="Arial" w:cs="Arial" w:eastAsia="Arial" w:hAnsi="Arial"/>
          <w:b w:val="1"/>
          <w:color w:val="333333"/>
        </w:rPr>
      </w:pPr>
      <w:bookmarkStart w:colFirst="0" w:colLast="0" w:name="_t4kg1pyt1gdr" w:id="1"/>
      <w:bookmarkEnd w:id="1"/>
      <w:r w:rsidDel="00000000" w:rsidR="00000000" w:rsidRPr="00000000">
        <w:rPr>
          <w:rFonts w:ascii="Arial" w:cs="Arial" w:eastAsia="Arial" w:hAnsi="Arial"/>
          <w:b w:val="1"/>
          <w:color w:val="333333"/>
          <w:rtl w:val="0"/>
        </w:rPr>
        <w:t xml:space="preserve">Assets</w:t>
      </w:r>
    </w:p>
    <w:p w:rsidR="00000000" w:rsidDel="00000000" w:rsidP="00000000" w:rsidRDefault="00000000" w:rsidRPr="00000000" w14:paraId="00000005">
      <w:pPr>
        <w:pStyle w:val="Heading4"/>
        <w:keepNext w:val="0"/>
        <w:keepLines w:val="0"/>
        <w:shd w:fill="ffffff" w:val="clear"/>
        <w:spacing w:after="40" w:before="240" w:lineRule="auto"/>
        <w:rPr>
          <w:rFonts w:ascii="Arial" w:cs="Arial" w:eastAsia="Arial" w:hAnsi="Arial"/>
          <w:b w:val="1"/>
          <w:color w:val="333333"/>
          <w:sz w:val="24"/>
          <w:szCs w:val="24"/>
          <w:u w:val="none"/>
        </w:rPr>
      </w:pPr>
      <w:bookmarkStart w:colFirst="0" w:colLast="0" w:name="_n3mxos98mivu" w:id="2"/>
      <w:bookmarkEnd w:id="2"/>
      <w:r w:rsidDel="00000000" w:rsidR="00000000" w:rsidRPr="00000000">
        <w:rPr>
          <w:rFonts w:ascii="Arial" w:cs="Arial" w:eastAsia="Arial" w:hAnsi="Arial"/>
          <w:b w:val="1"/>
          <w:color w:val="333333"/>
          <w:sz w:val="24"/>
          <w:szCs w:val="24"/>
          <w:u w:val="none"/>
          <w:rtl w:val="0"/>
        </w:rPr>
        <w:t xml:space="preserve">Current Assets</w:t>
      </w:r>
    </w:p>
    <w:p w:rsidR="00000000" w:rsidDel="00000000" w:rsidP="00000000" w:rsidRDefault="00000000" w:rsidRPr="00000000" w14:paraId="00000006">
      <w:pPr>
        <w:numPr>
          <w:ilvl w:val="0"/>
          <w:numId w:val="7"/>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Cash and Cash Equivalents</w:t>
      </w:r>
      <w:r w:rsidDel="00000000" w:rsidR="00000000" w:rsidRPr="00000000">
        <w:rPr>
          <w:rFonts w:ascii="Arial" w:cs="Arial" w:eastAsia="Arial" w:hAnsi="Arial"/>
          <w:color w:val="333333"/>
          <w:sz w:val="24"/>
          <w:szCs w:val="24"/>
          <w:rtl w:val="0"/>
        </w:rPr>
        <w:t xml:space="preserve">: Funds available for immediate use.</w:t>
      </w:r>
    </w:p>
    <w:p w:rsidR="00000000" w:rsidDel="00000000" w:rsidP="00000000" w:rsidRDefault="00000000" w:rsidRPr="00000000" w14:paraId="00000007">
      <w:pPr>
        <w:numPr>
          <w:ilvl w:val="0"/>
          <w:numId w:val="7"/>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Accounts Receivable</w:t>
      </w:r>
      <w:r w:rsidDel="00000000" w:rsidR="00000000" w:rsidRPr="00000000">
        <w:rPr>
          <w:rFonts w:ascii="Arial" w:cs="Arial" w:eastAsia="Arial" w:hAnsi="Arial"/>
          <w:color w:val="333333"/>
          <w:sz w:val="24"/>
          <w:szCs w:val="24"/>
          <w:rtl w:val="0"/>
        </w:rPr>
        <w:t xml:space="preserve">: Money owed to the company by clients.</w:t>
      </w:r>
    </w:p>
    <w:p w:rsidR="00000000" w:rsidDel="00000000" w:rsidP="00000000" w:rsidRDefault="00000000" w:rsidRPr="00000000" w14:paraId="00000008">
      <w:pPr>
        <w:numPr>
          <w:ilvl w:val="0"/>
          <w:numId w:val="7"/>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Construction Supplies Inventory</w:t>
      </w:r>
      <w:r w:rsidDel="00000000" w:rsidR="00000000" w:rsidRPr="00000000">
        <w:rPr>
          <w:rFonts w:ascii="Arial" w:cs="Arial" w:eastAsia="Arial" w:hAnsi="Arial"/>
          <w:color w:val="333333"/>
          <w:sz w:val="24"/>
          <w:szCs w:val="24"/>
          <w:rtl w:val="0"/>
        </w:rPr>
        <w:t xml:space="preserve">: Materials and supplies on hand for current projects.</w:t>
      </w:r>
    </w:p>
    <w:p w:rsidR="00000000" w:rsidDel="00000000" w:rsidP="00000000" w:rsidRDefault="00000000" w:rsidRPr="00000000" w14:paraId="00000009">
      <w:pPr>
        <w:numPr>
          <w:ilvl w:val="0"/>
          <w:numId w:val="7"/>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Work-in-Progress (WIP)</w:t>
      </w:r>
      <w:r w:rsidDel="00000000" w:rsidR="00000000" w:rsidRPr="00000000">
        <w:rPr>
          <w:rFonts w:ascii="Arial" w:cs="Arial" w:eastAsia="Arial" w:hAnsi="Arial"/>
          <w:color w:val="333333"/>
          <w:sz w:val="24"/>
          <w:szCs w:val="24"/>
          <w:rtl w:val="0"/>
        </w:rPr>
        <w:t xml:space="preserve">: Costs incurred on ongoing construction projects.</w:t>
      </w:r>
    </w:p>
    <w:p w:rsidR="00000000" w:rsidDel="00000000" w:rsidP="00000000" w:rsidRDefault="00000000" w:rsidRPr="00000000" w14:paraId="0000000A">
      <w:pPr>
        <w:numPr>
          <w:ilvl w:val="0"/>
          <w:numId w:val="7"/>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Prepaid Expenses</w:t>
      </w:r>
      <w:r w:rsidDel="00000000" w:rsidR="00000000" w:rsidRPr="00000000">
        <w:rPr>
          <w:rFonts w:ascii="Arial" w:cs="Arial" w:eastAsia="Arial" w:hAnsi="Arial"/>
          <w:color w:val="333333"/>
          <w:sz w:val="24"/>
          <w:szCs w:val="24"/>
          <w:rtl w:val="0"/>
        </w:rPr>
        <w:t xml:space="preserve">: Payments made in advance for services and goods.</w:t>
      </w:r>
    </w:p>
    <w:p w:rsidR="00000000" w:rsidDel="00000000" w:rsidP="00000000" w:rsidRDefault="00000000" w:rsidRPr="00000000" w14:paraId="0000000B">
      <w:pPr>
        <w:pStyle w:val="Heading4"/>
        <w:keepNext w:val="0"/>
        <w:keepLines w:val="0"/>
        <w:shd w:fill="ffffff" w:val="clear"/>
        <w:spacing w:after="40" w:before="240" w:lineRule="auto"/>
        <w:rPr>
          <w:rFonts w:ascii="Arial" w:cs="Arial" w:eastAsia="Arial" w:hAnsi="Arial"/>
          <w:b w:val="1"/>
          <w:color w:val="333333"/>
          <w:sz w:val="24"/>
          <w:szCs w:val="24"/>
          <w:u w:val="none"/>
        </w:rPr>
      </w:pPr>
      <w:bookmarkStart w:colFirst="0" w:colLast="0" w:name="_soqssd5e93iv" w:id="3"/>
      <w:bookmarkEnd w:id="3"/>
      <w:r w:rsidDel="00000000" w:rsidR="00000000" w:rsidRPr="00000000">
        <w:rPr>
          <w:rFonts w:ascii="Arial" w:cs="Arial" w:eastAsia="Arial" w:hAnsi="Arial"/>
          <w:b w:val="1"/>
          <w:color w:val="333333"/>
          <w:sz w:val="24"/>
          <w:szCs w:val="24"/>
          <w:u w:val="none"/>
          <w:rtl w:val="0"/>
        </w:rPr>
        <w:t xml:space="preserve">Fixed Assets</w:t>
      </w:r>
    </w:p>
    <w:p w:rsidR="00000000" w:rsidDel="00000000" w:rsidP="00000000" w:rsidRDefault="00000000" w:rsidRPr="00000000" w14:paraId="0000000C">
      <w:pPr>
        <w:numPr>
          <w:ilvl w:val="0"/>
          <w:numId w:val="1"/>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Property, Plant, and Equipment</w:t>
      </w:r>
      <w:r w:rsidDel="00000000" w:rsidR="00000000" w:rsidRPr="00000000">
        <w:rPr>
          <w:rFonts w:ascii="Arial" w:cs="Arial" w:eastAsia="Arial" w:hAnsi="Arial"/>
          <w:color w:val="333333"/>
          <w:sz w:val="24"/>
          <w:szCs w:val="24"/>
          <w:rtl w:val="0"/>
        </w:rPr>
        <w:t xml:space="preserve">: Land, buildings, and equipment used in operations, minus depreciation.</w:t>
      </w:r>
    </w:p>
    <w:p w:rsidR="00000000" w:rsidDel="00000000" w:rsidP="00000000" w:rsidRDefault="00000000" w:rsidRPr="00000000" w14:paraId="0000000D">
      <w:pPr>
        <w:numPr>
          <w:ilvl w:val="0"/>
          <w:numId w:val="1"/>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Construction Equipment</w:t>
      </w:r>
      <w:r w:rsidDel="00000000" w:rsidR="00000000" w:rsidRPr="00000000">
        <w:rPr>
          <w:rFonts w:ascii="Arial" w:cs="Arial" w:eastAsia="Arial" w:hAnsi="Arial"/>
          <w:color w:val="333333"/>
          <w:sz w:val="24"/>
          <w:szCs w:val="24"/>
          <w:rtl w:val="0"/>
        </w:rPr>
        <w:t xml:space="preserve">: Heavy machinery and tools owned by the company.</w:t>
      </w:r>
    </w:p>
    <w:p w:rsidR="00000000" w:rsidDel="00000000" w:rsidP="00000000" w:rsidRDefault="00000000" w:rsidRPr="00000000" w14:paraId="0000000E">
      <w:pPr>
        <w:numPr>
          <w:ilvl w:val="0"/>
          <w:numId w:val="1"/>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Vehicles</w:t>
      </w:r>
      <w:r w:rsidDel="00000000" w:rsidR="00000000" w:rsidRPr="00000000">
        <w:rPr>
          <w:rFonts w:ascii="Arial" w:cs="Arial" w:eastAsia="Arial" w:hAnsi="Arial"/>
          <w:color w:val="333333"/>
          <w:sz w:val="24"/>
          <w:szCs w:val="24"/>
          <w:rtl w:val="0"/>
        </w:rPr>
        <w:t xml:space="preserve">: Trucks and other vehicles used for transport.</w:t>
      </w:r>
    </w:p>
    <w:p w:rsidR="00000000" w:rsidDel="00000000" w:rsidP="00000000" w:rsidRDefault="00000000" w:rsidRPr="00000000" w14:paraId="0000000F">
      <w:pPr>
        <w:numPr>
          <w:ilvl w:val="0"/>
          <w:numId w:val="1"/>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Depreciation</w:t>
      </w:r>
      <w:r w:rsidDel="00000000" w:rsidR="00000000" w:rsidRPr="00000000">
        <w:rPr>
          <w:rFonts w:ascii="Arial" w:cs="Arial" w:eastAsia="Arial" w:hAnsi="Arial"/>
          <w:color w:val="333333"/>
          <w:sz w:val="24"/>
          <w:szCs w:val="24"/>
          <w:rtl w:val="0"/>
        </w:rPr>
        <w:t xml:space="preserve">: Accumulated depreciation on fixed assets.</w:t>
      </w:r>
    </w:p>
    <w:p w:rsidR="00000000" w:rsidDel="00000000" w:rsidP="00000000" w:rsidRDefault="00000000" w:rsidRPr="00000000" w14:paraId="00000010">
      <w:pPr>
        <w:pStyle w:val="Heading3"/>
        <w:keepNext w:val="0"/>
        <w:keepLines w:val="0"/>
        <w:shd w:fill="ffffff" w:val="clear"/>
        <w:spacing w:after="80" w:before="280" w:lineRule="auto"/>
        <w:rPr>
          <w:rFonts w:ascii="Arial" w:cs="Arial" w:eastAsia="Arial" w:hAnsi="Arial"/>
          <w:b w:val="1"/>
          <w:color w:val="333333"/>
        </w:rPr>
      </w:pPr>
      <w:bookmarkStart w:colFirst="0" w:colLast="0" w:name="_xji8h0lqbqsv" w:id="4"/>
      <w:bookmarkEnd w:id="4"/>
      <w:r w:rsidDel="00000000" w:rsidR="00000000" w:rsidRPr="00000000">
        <w:rPr>
          <w:rFonts w:ascii="Arial" w:cs="Arial" w:eastAsia="Arial" w:hAnsi="Arial"/>
          <w:b w:val="1"/>
          <w:color w:val="333333"/>
          <w:rtl w:val="0"/>
        </w:rPr>
        <w:t xml:space="preserve">Liabilities</w:t>
      </w:r>
    </w:p>
    <w:p w:rsidR="00000000" w:rsidDel="00000000" w:rsidP="00000000" w:rsidRDefault="00000000" w:rsidRPr="00000000" w14:paraId="00000011">
      <w:pPr>
        <w:pStyle w:val="Heading4"/>
        <w:keepNext w:val="0"/>
        <w:keepLines w:val="0"/>
        <w:shd w:fill="ffffff" w:val="clear"/>
        <w:spacing w:after="40" w:before="240" w:lineRule="auto"/>
        <w:rPr>
          <w:rFonts w:ascii="Arial" w:cs="Arial" w:eastAsia="Arial" w:hAnsi="Arial"/>
          <w:b w:val="1"/>
          <w:color w:val="333333"/>
          <w:sz w:val="24"/>
          <w:szCs w:val="24"/>
          <w:u w:val="none"/>
        </w:rPr>
      </w:pPr>
      <w:bookmarkStart w:colFirst="0" w:colLast="0" w:name="_oxkmzj3izwoc" w:id="5"/>
      <w:bookmarkEnd w:id="5"/>
      <w:r w:rsidDel="00000000" w:rsidR="00000000" w:rsidRPr="00000000">
        <w:rPr>
          <w:rFonts w:ascii="Arial" w:cs="Arial" w:eastAsia="Arial" w:hAnsi="Arial"/>
          <w:b w:val="1"/>
          <w:color w:val="333333"/>
          <w:sz w:val="24"/>
          <w:szCs w:val="24"/>
          <w:u w:val="none"/>
          <w:rtl w:val="0"/>
        </w:rPr>
        <w:t xml:space="preserve">Current Liabilities</w:t>
      </w:r>
    </w:p>
    <w:p w:rsidR="00000000" w:rsidDel="00000000" w:rsidP="00000000" w:rsidRDefault="00000000" w:rsidRPr="00000000" w14:paraId="00000012">
      <w:pPr>
        <w:numPr>
          <w:ilvl w:val="0"/>
          <w:numId w:val="10"/>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Accounts Payable</w:t>
      </w:r>
      <w:r w:rsidDel="00000000" w:rsidR="00000000" w:rsidRPr="00000000">
        <w:rPr>
          <w:rFonts w:ascii="Arial" w:cs="Arial" w:eastAsia="Arial" w:hAnsi="Arial"/>
          <w:color w:val="333333"/>
          <w:sz w:val="24"/>
          <w:szCs w:val="24"/>
          <w:rtl w:val="0"/>
        </w:rPr>
        <w:t xml:space="preserve">: Money owed to suppliers and subcontractors.</w:t>
      </w:r>
    </w:p>
    <w:p w:rsidR="00000000" w:rsidDel="00000000" w:rsidP="00000000" w:rsidRDefault="00000000" w:rsidRPr="00000000" w14:paraId="00000013">
      <w:pPr>
        <w:numPr>
          <w:ilvl w:val="0"/>
          <w:numId w:val="10"/>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Accrued Expenses</w:t>
      </w:r>
      <w:r w:rsidDel="00000000" w:rsidR="00000000" w:rsidRPr="00000000">
        <w:rPr>
          <w:rFonts w:ascii="Arial" w:cs="Arial" w:eastAsia="Arial" w:hAnsi="Arial"/>
          <w:color w:val="333333"/>
          <w:sz w:val="24"/>
          <w:szCs w:val="24"/>
          <w:rtl w:val="0"/>
        </w:rPr>
        <w:t xml:space="preserve">: Incurred expenses not yet paid.</w:t>
      </w:r>
    </w:p>
    <w:p w:rsidR="00000000" w:rsidDel="00000000" w:rsidP="00000000" w:rsidRDefault="00000000" w:rsidRPr="00000000" w14:paraId="00000014">
      <w:pPr>
        <w:numPr>
          <w:ilvl w:val="0"/>
          <w:numId w:val="10"/>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Current Portion of Long-term Debt</w:t>
      </w:r>
      <w:r w:rsidDel="00000000" w:rsidR="00000000" w:rsidRPr="00000000">
        <w:rPr>
          <w:rFonts w:ascii="Arial" w:cs="Arial" w:eastAsia="Arial" w:hAnsi="Arial"/>
          <w:color w:val="333333"/>
          <w:sz w:val="24"/>
          <w:szCs w:val="24"/>
          <w:rtl w:val="0"/>
        </w:rPr>
        <w:t xml:space="preserve">: The portion of long-term liabilities due within the next year.</w:t>
      </w:r>
    </w:p>
    <w:p w:rsidR="00000000" w:rsidDel="00000000" w:rsidP="00000000" w:rsidRDefault="00000000" w:rsidRPr="00000000" w14:paraId="00000015">
      <w:pPr>
        <w:pStyle w:val="Heading4"/>
        <w:keepNext w:val="0"/>
        <w:keepLines w:val="0"/>
        <w:shd w:fill="ffffff" w:val="clear"/>
        <w:spacing w:after="40" w:before="240" w:lineRule="auto"/>
        <w:rPr>
          <w:rFonts w:ascii="Arial" w:cs="Arial" w:eastAsia="Arial" w:hAnsi="Arial"/>
          <w:b w:val="1"/>
          <w:color w:val="333333"/>
          <w:sz w:val="24"/>
          <w:szCs w:val="24"/>
          <w:u w:val="none"/>
        </w:rPr>
      </w:pPr>
      <w:bookmarkStart w:colFirst="0" w:colLast="0" w:name="_7floiqfl2lsj" w:id="6"/>
      <w:bookmarkEnd w:id="6"/>
      <w:r w:rsidDel="00000000" w:rsidR="00000000" w:rsidRPr="00000000">
        <w:rPr>
          <w:rFonts w:ascii="Arial" w:cs="Arial" w:eastAsia="Arial" w:hAnsi="Arial"/>
          <w:b w:val="1"/>
          <w:color w:val="333333"/>
          <w:sz w:val="24"/>
          <w:szCs w:val="24"/>
          <w:u w:val="none"/>
          <w:rtl w:val="0"/>
        </w:rPr>
        <w:t xml:space="preserve">Long-term Liabilities</w:t>
      </w:r>
    </w:p>
    <w:p w:rsidR="00000000" w:rsidDel="00000000" w:rsidP="00000000" w:rsidRDefault="00000000" w:rsidRPr="00000000" w14:paraId="00000016">
      <w:pPr>
        <w:numPr>
          <w:ilvl w:val="0"/>
          <w:numId w:val="8"/>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Notes Payable</w:t>
      </w:r>
      <w:r w:rsidDel="00000000" w:rsidR="00000000" w:rsidRPr="00000000">
        <w:rPr>
          <w:rFonts w:ascii="Arial" w:cs="Arial" w:eastAsia="Arial" w:hAnsi="Arial"/>
          <w:color w:val="333333"/>
          <w:sz w:val="24"/>
          <w:szCs w:val="24"/>
          <w:rtl w:val="0"/>
        </w:rPr>
        <w:t xml:space="preserve">: Loans or notes that are repayable beyond one year.</w:t>
      </w:r>
    </w:p>
    <w:p w:rsidR="00000000" w:rsidDel="00000000" w:rsidP="00000000" w:rsidRDefault="00000000" w:rsidRPr="00000000" w14:paraId="00000017">
      <w:pPr>
        <w:numPr>
          <w:ilvl w:val="0"/>
          <w:numId w:val="8"/>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Mortgage Payable</w:t>
      </w:r>
      <w:r w:rsidDel="00000000" w:rsidR="00000000" w:rsidRPr="00000000">
        <w:rPr>
          <w:rFonts w:ascii="Arial" w:cs="Arial" w:eastAsia="Arial" w:hAnsi="Arial"/>
          <w:color w:val="333333"/>
          <w:sz w:val="24"/>
          <w:szCs w:val="24"/>
          <w:rtl w:val="0"/>
        </w:rPr>
        <w:t xml:space="preserve">: Long-term loans secured by property or equipment.</w:t>
      </w:r>
    </w:p>
    <w:p w:rsidR="00000000" w:rsidDel="00000000" w:rsidP="00000000" w:rsidRDefault="00000000" w:rsidRPr="00000000" w14:paraId="00000018">
      <w:pPr>
        <w:pStyle w:val="Heading3"/>
        <w:keepNext w:val="0"/>
        <w:keepLines w:val="0"/>
        <w:shd w:fill="ffffff" w:val="clear"/>
        <w:spacing w:after="80" w:before="280" w:lineRule="auto"/>
        <w:rPr>
          <w:rFonts w:ascii="Arial" w:cs="Arial" w:eastAsia="Arial" w:hAnsi="Arial"/>
          <w:b w:val="1"/>
          <w:color w:val="333333"/>
        </w:rPr>
      </w:pPr>
      <w:bookmarkStart w:colFirst="0" w:colLast="0" w:name="_pjogjf824q88" w:id="7"/>
      <w:bookmarkEnd w:id="7"/>
      <w:r w:rsidDel="00000000" w:rsidR="00000000" w:rsidRPr="00000000">
        <w:rPr>
          <w:rFonts w:ascii="Arial" w:cs="Arial" w:eastAsia="Arial" w:hAnsi="Arial"/>
          <w:b w:val="1"/>
          <w:color w:val="333333"/>
          <w:rtl w:val="0"/>
        </w:rPr>
        <w:t xml:space="preserve">Equity</w:t>
      </w:r>
    </w:p>
    <w:p w:rsidR="00000000" w:rsidDel="00000000" w:rsidP="00000000" w:rsidRDefault="00000000" w:rsidRPr="00000000" w14:paraId="00000019">
      <w:pPr>
        <w:numPr>
          <w:ilvl w:val="0"/>
          <w:numId w:val="6"/>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Owner's Equity</w:t>
      </w:r>
      <w:r w:rsidDel="00000000" w:rsidR="00000000" w:rsidRPr="00000000">
        <w:rPr>
          <w:rFonts w:ascii="Arial" w:cs="Arial" w:eastAsia="Arial" w:hAnsi="Arial"/>
          <w:color w:val="333333"/>
          <w:sz w:val="24"/>
          <w:szCs w:val="24"/>
          <w:rtl w:val="0"/>
        </w:rPr>
        <w:t xml:space="preserve">: Capital contributed by the owners or shareholders.</w:t>
      </w:r>
    </w:p>
    <w:p w:rsidR="00000000" w:rsidDel="00000000" w:rsidP="00000000" w:rsidRDefault="00000000" w:rsidRPr="00000000" w14:paraId="0000001A">
      <w:pPr>
        <w:numPr>
          <w:ilvl w:val="0"/>
          <w:numId w:val="6"/>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Retained Earnings</w:t>
      </w:r>
      <w:r w:rsidDel="00000000" w:rsidR="00000000" w:rsidRPr="00000000">
        <w:rPr>
          <w:rFonts w:ascii="Arial" w:cs="Arial" w:eastAsia="Arial" w:hAnsi="Arial"/>
          <w:color w:val="333333"/>
          <w:sz w:val="24"/>
          <w:szCs w:val="24"/>
          <w:rtl w:val="0"/>
        </w:rPr>
        <w:t xml:space="preserve">: Profits reinvested in the company rather than distributed to owners.</w:t>
      </w:r>
    </w:p>
    <w:p w:rsidR="00000000" w:rsidDel="00000000" w:rsidP="00000000" w:rsidRDefault="00000000" w:rsidRPr="00000000" w14:paraId="0000001B">
      <w:pPr>
        <w:pStyle w:val="Heading3"/>
        <w:keepNext w:val="0"/>
        <w:keepLines w:val="0"/>
        <w:shd w:fill="ffffff" w:val="clear"/>
        <w:spacing w:after="80" w:before="280" w:lineRule="auto"/>
        <w:rPr>
          <w:rFonts w:ascii="Arial" w:cs="Arial" w:eastAsia="Arial" w:hAnsi="Arial"/>
          <w:b w:val="1"/>
          <w:color w:val="333333"/>
        </w:rPr>
      </w:pPr>
      <w:bookmarkStart w:colFirst="0" w:colLast="0" w:name="_ae73g9j1f6fs" w:id="8"/>
      <w:bookmarkEnd w:id="8"/>
      <w:r w:rsidDel="00000000" w:rsidR="00000000" w:rsidRPr="00000000">
        <w:rPr>
          <w:rFonts w:ascii="Arial" w:cs="Arial" w:eastAsia="Arial" w:hAnsi="Arial"/>
          <w:b w:val="1"/>
          <w:color w:val="333333"/>
          <w:rtl w:val="0"/>
        </w:rPr>
        <w:t xml:space="preserve">Revenue</w:t>
      </w:r>
    </w:p>
    <w:p w:rsidR="00000000" w:rsidDel="00000000" w:rsidP="00000000" w:rsidRDefault="00000000" w:rsidRPr="00000000" w14:paraId="0000001C">
      <w:pPr>
        <w:numPr>
          <w:ilvl w:val="0"/>
          <w:numId w:val="2"/>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Contract Revenue</w:t>
      </w:r>
      <w:r w:rsidDel="00000000" w:rsidR="00000000" w:rsidRPr="00000000">
        <w:rPr>
          <w:rFonts w:ascii="Arial" w:cs="Arial" w:eastAsia="Arial" w:hAnsi="Arial"/>
          <w:color w:val="333333"/>
          <w:sz w:val="24"/>
          <w:szCs w:val="24"/>
          <w:rtl w:val="0"/>
        </w:rPr>
        <w:t xml:space="preserve">: Income from construction contracts.</w:t>
      </w:r>
    </w:p>
    <w:p w:rsidR="00000000" w:rsidDel="00000000" w:rsidP="00000000" w:rsidRDefault="00000000" w:rsidRPr="00000000" w14:paraId="0000001D">
      <w:pPr>
        <w:numPr>
          <w:ilvl w:val="0"/>
          <w:numId w:val="2"/>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Change Order Revenue</w:t>
      </w:r>
      <w:r w:rsidDel="00000000" w:rsidR="00000000" w:rsidRPr="00000000">
        <w:rPr>
          <w:rFonts w:ascii="Arial" w:cs="Arial" w:eastAsia="Arial" w:hAnsi="Arial"/>
          <w:color w:val="333333"/>
          <w:sz w:val="24"/>
          <w:szCs w:val="24"/>
          <w:rtl w:val="0"/>
        </w:rPr>
        <w:t xml:space="preserve">: Additional income from changes or additions to original contract terms.</w:t>
      </w:r>
    </w:p>
    <w:p w:rsidR="00000000" w:rsidDel="00000000" w:rsidP="00000000" w:rsidRDefault="00000000" w:rsidRPr="00000000" w14:paraId="0000001E">
      <w:pPr>
        <w:pStyle w:val="Heading3"/>
        <w:keepNext w:val="0"/>
        <w:keepLines w:val="0"/>
        <w:shd w:fill="ffffff" w:val="clear"/>
        <w:spacing w:after="80" w:before="280" w:lineRule="auto"/>
        <w:rPr>
          <w:rFonts w:ascii="Arial" w:cs="Arial" w:eastAsia="Arial" w:hAnsi="Arial"/>
          <w:b w:val="1"/>
          <w:color w:val="333333"/>
        </w:rPr>
      </w:pPr>
      <w:bookmarkStart w:colFirst="0" w:colLast="0" w:name="_1cmib3elm6uy" w:id="9"/>
      <w:bookmarkEnd w:id="9"/>
      <w:r w:rsidDel="00000000" w:rsidR="00000000" w:rsidRPr="00000000">
        <w:rPr>
          <w:rFonts w:ascii="Arial" w:cs="Arial" w:eastAsia="Arial" w:hAnsi="Arial"/>
          <w:b w:val="1"/>
          <w:color w:val="333333"/>
          <w:rtl w:val="0"/>
        </w:rPr>
        <w:t xml:space="preserve">Cost of Goods Sold (COGS)</w:t>
      </w:r>
    </w:p>
    <w:p w:rsidR="00000000" w:rsidDel="00000000" w:rsidP="00000000" w:rsidRDefault="00000000" w:rsidRPr="00000000" w14:paraId="0000001F">
      <w:pPr>
        <w:numPr>
          <w:ilvl w:val="0"/>
          <w:numId w:val="5"/>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Direct Labor</w:t>
      </w:r>
      <w:r w:rsidDel="00000000" w:rsidR="00000000" w:rsidRPr="00000000">
        <w:rPr>
          <w:rFonts w:ascii="Arial" w:cs="Arial" w:eastAsia="Arial" w:hAnsi="Arial"/>
          <w:color w:val="333333"/>
          <w:sz w:val="24"/>
          <w:szCs w:val="24"/>
          <w:rtl w:val="0"/>
        </w:rPr>
        <w:t xml:space="preserve">: Wages and benefits for labor directly involved in construction projects.</w:t>
      </w:r>
    </w:p>
    <w:p w:rsidR="00000000" w:rsidDel="00000000" w:rsidP="00000000" w:rsidRDefault="00000000" w:rsidRPr="00000000" w14:paraId="00000020">
      <w:pPr>
        <w:numPr>
          <w:ilvl w:val="0"/>
          <w:numId w:val="5"/>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Materials Used</w:t>
      </w:r>
      <w:r w:rsidDel="00000000" w:rsidR="00000000" w:rsidRPr="00000000">
        <w:rPr>
          <w:rFonts w:ascii="Arial" w:cs="Arial" w:eastAsia="Arial" w:hAnsi="Arial"/>
          <w:color w:val="333333"/>
          <w:sz w:val="24"/>
          <w:szCs w:val="24"/>
          <w:rtl w:val="0"/>
        </w:rPr>
        <w:t xml:space="preserve">: Cost of materials used in construction projects.</w:t>
      </w:r>
    </w:p>
    <w:p w:rsidR="00000000" w:rsidDel="00000000" w:rsidP="00000000" w:rsidRDefault="00000000" w:rsidRPr="00000000" w14:paraId="00000021">
      <w:pPr>
        <w:numPr>
          <w:ilvl w:val="0"/>
          <w:numId w:val="5"/>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Subcontractor Costs</w:t>
      </w:r>
      <w:r w:rsidDel="00000000" w:rsidR="00000000" w:rsidRPr="00000000">
        <w:rPr>
          <w:rFonts w:ascii="Arial" w:cs="Arial" w:eastAsia="Arial" w:hAnsi="Arial"/>
          <w:color w:val="333333"/>
          <w:sz w:val="24"/>
          <w:szCs w:val="24"/>
          <w:rtl w:val="0"/>
        </w:rPr>
        <w:t xml:space="preserve">: Payments made to subcontractors for work performed.</w:t>
      </w:r>
    </w:p>
    <w:p w:rsidR="00000000" w:rsidDel="00000000" w:rsidP="00000000" w:rsidRDefault="00000000" w:rsidRPr="00000000" w14:paraId="00000022">
      <w:pPr>
        <w:numPr>
          <w:ilvl w:val="0"/>
          <w:numId w:val="5"/>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Equipment Costs</w:t>
      </w:r>
      <w:r w:rsidDel="00000000" w:rsidR="00000000" w:rsidRPr="00000000">
        <w:rPr>
          <w:rFonts w:ascii="Arial" w:cs="Arial" w:eastAsia="Arial" w:hAnsi="Arial"/>
          <w:color w:val="333333"/>
          <w:sz w:val="24"/>
          <w:szCs w:val="24"/>
          <w:rtl w:val="0"/>
        </w:rPr>
        <w:t xml:space="preserve">: Depreciation and maintenance of construction equipment.</w:t>
      </w:r>
    </w:p>
    <w:p w:rsidR="00000000" w:rsidDel="00000000" w:rsidP="00000000" w:rsidRDefault="00000000" w:rsidRPr="00000000" w14:paraId="00000023">
      <w:pPr>
        <w:pStyle w:val="Heading3"/>
        <w:keepNext w:val="0"/>
        <w:keepLines w:val="0"/>
        <w:shd w:fill="ffffff" w:val="clear"/>
        <w:spacing w:after="80" w:before="280" w:lineRule="auto"/>
        <w:rPr>
          <w:rFonts w:ascii="Arial" w:cs="Arial" w:eastAsia="Arial" w:hAnsi="Arial"/>
          <w:b w:val="1"/>
          <w:color w:val="333333"/>
        </w:rPr>
      </w:pPr>
      <w:bookmarkStart w:colFirst="0" w:colLast="0" w:name="_u587e9e8chav" w:id="10"/>
      <w:bookmarkEnd w:id="10"/>
      <w:r w:rsidDel="00000000" w:rsidR="00000000" w:rsidRPr="00000000">
        <w:rPr>
          <w:rFonts w:ascii="Arial" w:cs="Arial" w:eastAsia="Arial" w:hAnsi="Arial"/>
          <w:b w:val="1"/>
          <w:color w:val="333333"/>
          <w:rtl w:val="0"/>
        </w:rPr>
        <w:t xml:space="preserve">Expenses</w:t>
      </w:r>
    </w:p>
    <w:p w:rsidR="00000000" w:rsidDel="00000000" w:rsidP="00000000" w:rsidRDefault="00000000" w:rsidRPr="00000000" w14:paraId="00000024">
      <w:pPr>
        <w:pStyle w:val="Heading4"/>
        <w:keepNext w:val="0"/>
        <w:keepLines w:val="0"/>
        <w:shd w:fill="ffffff" w:val="clear"/>
        <w:spacing w:after="40" w:before="240" w:lineRule="auto"/>
        <w:rPr>
          <w:rFonts w:ascii="Arial" w:cs="Arial" w:eastAsia="Arial" w:hAnsi="Arial"/>
          <w:b w:val="1"/>
          <w:color w:val="333333"/>
          <w:sz w:val="24"/>
          <w:szCs w:val="24"/>
          <w:u w:val="none"/>
        </w:rPr>
      </w:pPr>
      <w:bookmarkStart w:colFirst="0" w:colLast="0" w:name="_blyjv07vcev2" w:id="11"/>
      <w:bookmarkEnd w:id="11"/>
      <w:r w:rsidDel="00000000" w:rsidR="00000000" w:rsidRPr="00000000">
        <w:rPr>
          <w:rFonts w:ascii="Arial" w:cs="Arial" w:eastAsia="Arial" w:hAnsi="Arial"/>
          <w:b w:val="1"/>
          <w:color w:val="333333"/>
          <w:sz w:val="24"/>
          <w:szCs w:val="24"/>
          <w:u w:val="none"/>
          <w:rtl w:val="0"/>
        </w:rPr>
        <w:t xml:space="preserve">Project Expenses</w:t>
      </w:r>
    </w:p>
    <w:p w:rsidR="00000000" w:rsidDel="00000000" w:rsidP="00000000" w:rsidRDefault="00000000" w:rsidRPr="00000000" w14:paraId="00000025">
      <w:pPr>
        <w:numPr>
          <w:ilvl w:val="0"/>
          <w:numId w:val="3"/>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Project Management</w:t>
      </w:r>
      <w:r w:rsidDel="00000000" w:rsidR="00000000" w:rsidRPr="00000000">
        <w:rPr>
          <w:rFonts w:ascii="Arial" w:cs="Arial" w:eastAsia="Arial" w:hAnsi="Arial"/>
          <w:color w:val="333333"/>
          <w:sz w:val="24"/>
          <w:szCs w:val="24"/>
          <w:rtl w:val="0"/>
        </w:rPr>
        <w:t xml:space="preserve">: Costs associated with managing construction projects.</w:t>
      </w:r>
    </w:p>
    <w:p w:rsidR="00000000" w:rsidDel="00000000" w:rsidP="00000000" w:rsidRDefault="00000000" w:rsidRPr="00000000" w14:paraId="00000026">
      <w:pPr>
        <w:numPr>
          <w:ilvl w:val="0"/>
          <w:numId w:val="3"/>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Permits and Fees</w:t>
      </w:r>
      <w:r w:rsidDel="00000000" w:rsidR="00000000" w:rsidRPr="00000000">
        <w:rPr>
          <w:rFonts w:ascii="Arial" w:cs="Arial" w:eastAsia="Arial" w:hAnsi="Arial"/>
          <w:color w:val="333333"/>
          <w:sz w:val="24"/>
          <w:szCs w:val="24"/>
          <w:rtl w:val="0"/>
        </w:rPr>
        <w:t xml:space="preserve">: Costs for necessary permits and regulatory fees.</w:t>
      </w:r>
    </w:p>
    <w:p w:rsidR="00000000" w:rsidDel="00000000" w:rsidP="00000000" w:rsidRDefault="00000000" w:rsidRPr="00000000" w14:paraId="00000027">
      <w:pPr>
        <w:pStyle w:val="Heading4"/>
        <w:keepNext w:val="0"/>
        <w:keepLines w:val="0"/>
        <w:shd w:fill="ffffff" w:val="clear"/>
        <w:spacing w:after="40" w:before="240" w:lineRule="auto"/>
        <w:rPr>
          <w:rFonts w:ascii="Arial" w:cs="Arial" w:eastAsia="Arial" w:hAnsi="Arial"/>
          <w:b w:val="1"/>
          <w:color w:val="333333"/>
          <w:sz w:val="24"/>
          <w:szCs w:val="24"/>
          <w:u w:val="none"/>
        </w:rPr>
      </w:pPr>
      <w:bookmarkStart w:colFirst="0" w:colLast="0" w:name="_z32ewtmpw41x" w:id="12"/>
      <w:bookmarkEnd w:id="12"/>
      <w:r w:rsidDel="00000000" w:rsidR="00000000" w:rsidRPr="00000000">
        <w:rPr>
          <w:rFonts w:ascii="Arial" w:cs="Arial" w:eastAsia="Arial" w:hAnsi="Arial"/>
          <w:b w:val="1"/>
          <w:color w:val="333333"/>
          <w:sz w:val="24"/>
          <w:szCs w:val="24"/>
          <w:u w:val="none"/>
          <w:rtl w:val="0"/>
        </w:rPr>
        <w:t xml:space="preserve">Operating Expenses</w:t>
      </w:r>
    </w:p>
    <w:p w:rsidR="00000000" w:rsidDel="00000000" w:rsidP="00000000" w:rsidRDefault="00000000" w:rsidRPr="00000000" w14:paraId="00000028">
      <w:pPr>
        <w:numPr>
          <w:ilvl w:val="0"/>
          <w:numId w:val="4"/>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Office Expenses</w:t>
      </w:r>
      <w:r w:rsidDel="00000000" w:rsidR="00000000" w:rsidRPr="00000000">
        <w:rPr>
          <w:rFonts w:ascii="Arial" w:cs="Arial" w:eastAsia="Arial" w:hAnsi="Arial"/>
          <w:color w:val="333333"/>
          <w:sz w:val="24"/>
          <w:szCs w:val="24"/>
          <w:rtl w:val="0"/>
        </w:rPr>
        <w:t xml:space="preserve">: Costs related to administrative functions.</w:t>
      </w:r>
    </w:p>
    <w:p w:rsidR="00000000" w:rsidDel="00000000" w:rsidP="00000000" w:rsidRDefault="00000000" w:rsidRPr="00000000" w14:paraId="00000029">
      <w:pPr>
        <w:numPr>
          <w:ilvl w:val="0"/>
          <w:numId w:val="4"/>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Salaries and Wages</w:t>
      </w:r>
      <w:r w:rsidDel="00000000" w:rsidR="00000000" w:rsidRPr="00000000">
        <w:rPr>
          <w:rFonts w:ascii="Arial" w:cs="Arial" w:eastAsia="Arial" w:hAnsi="Arial"/>
          <w:color w:val="333333"/>
          <w:sz w:val="24"/>
          <w:szCs w:val="24"/>
          <w:rtl w:val="0"/>
        </w:rPr>
        <w:t xml:space="preserve">: Compensation for non-project staff.</w:t>
      </w:r>
    </w:p>
    <w:p w:rsidR="00000000" w:rsidDel="00000000" w:rsidP="00000000" w:rsidRDefault="00000000" w:rsidRPr="00000000" w14:paraId="0000002A">
      <w:pPr>
        <w:numPr>
          <w:ilvl w:val="0"/>
          <w:numId w:val="4"/>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Rent or Mortgage</w:t>
      </w:r>
      <w:r w:rsidDel="00000000" w:rsidR="00000000" w:rsidRPr="00000000">
        <w:rPr>
          <w:rFonts w:ascii="Arial" w:cs="Arial" w:eastAsia="Arial" w:hAnsi="Arial"/>
          <w:color w:val="333333"/>
          <w:sz w:val="24"/>
          <w:szCs w:val="24"/>
          <w:rtl w:val="0"/>
        </w:rPr>
        <w:t xml:space="preserve">: Costs for leasing or owning office space.</w:t>
      </w:r>
    </w:p>
    <w:p w:rsidR="00000000" w:rsidDel="00000000" w:rsidP="00000000" w:rsidRDefault="00000000" w:rsidRPr="00000000" w14:paraId="0000002B">
      <w:pPr>
        <w:numPr>
          <w:ilvl w:val="0"/>
          <w:numId w:val="4"/>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Utilities</w:t>
      </w:r>
      <w:r w:rsidDel="00000000" w:rsidR="00000000" w:rsidRPr="00000000">
        <w:rPr>
          <w:rFonts w:ascii="Arial" w:cs="Arial" w:eastAsia="Arial" w:hAnsi="Arial"/>
          <w:color w:val="333333"/>
          <w:sz w:val="24"/>
          <w:szCs w:val="24"/>
          <w:rtl w:val="0"/>
        </w:rPr>
        <w:t xml:space="preserve">: Electricity, water, and other utilities for office operations.</w:t>
      </w:r>
    </w:p>
    <w:p w:rsidR="00000000" w:rsidDel="00000000" w:rsidP="00000000" w:rsidRDefault="00000000" w:rsidRPr="00000000" w14:paraId="0000002C">
      <w:pPr>
        <w:numPr>
          <w:ilvl w:val="0"/>
          <w:numId w:val="4"/>
        </w:numPr>
        <w:shd w:fill="ffffff" w:val="clea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Insurance</w:t>
      </w:r>
      <w:r w:rsidDel="00000000" w:rsidR="00000000" w:rsidRPr="00000000">
        <w:rPr>
          <w:rFonts w:ascii="Arial" w:cs="Arial" w:eastAsia="Arial" w:hAnsi="Arial"/>
          <w:color w:val="333333"/>
          <w:sz w:val="24"/>
          <w:szCs w:val="24"/>
          <w:rtl w:val="0"/>
        </w:rPr>
        <w:t xml:space="preserve">: General liability, workers' compensation, and other insurance costs.</w:t>
      </w:r>
    </w:p>
    <w:p w:rsidR="00000000" w:rsidDel="00000000" w:rsidP="00000000" w:rsidRDefault="00000000" w:rsidRPr="00000000" w14:paraId="0000002D">
      <w:pPr>
        <w:numPr>
          <w:ilvl w:val="0"/>
          <w:numId w:val="4"/>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Vehicle Expenses</w:t>
      </w:r>
      <w:r w:rsidDel="00000000" w:rsidR="00000000" w:rsidRPr="00000000">
        <w:rPr>
          <w:rFonts w:ascii="Arial" w:cs="Arial" w:eastAsia="Arial" w:hAnsi="Arial"/>
          <w:color w:val="333333"/>
          <w:sz w:val="24"/>
          <w:szCs w:val="24"/>
          <w:rtl w:val="0"/>
        </w:rPr>
        <w:t xml:space="preserve">: Fuel, maintenance, and depreciation of company vehicles.</w:t>
      </w:r>
    </w:p>
    <w:p w:rsidR="00000000" w:rsidDel="00000000" w:rsidP="00000000" w:rsidRDefault="00000000" w:rsidRPr="00000000" w14:paraId="0000002E">
      <w:pPr>
        <w:pStyle w:val="Heading4"/>
        <w:keepNext w:val="0"/>
        <w:keepLines w:val="0"/>
        <w:shd w:fill="ffffff" w:val="clear"/>
        <w:spacing w:after="40" w:before="240" w:lineRule="auto"/>
        <w:rPr>
          <w:rFonts w:ascii="Arial" w:cs="Arial" w:eastAsia="Arial" w:hAnsi="Arial"/>
          <w:b w:val="1"/>
          <w:color w:val="333333"/>
          <w:sz w:val="24"/>
          <w:szCs w:val="24"/>
          <w:u w:val="none"/>
        </w:rPr>
      </w:pPr>
      <w:bookmarkStart w:colFirst="0" w:colLast="0" w:name="_3skr7op216q9" w:id="13"/>
      <w:bookmarkEnd w:id="13"/>
      <w:r w:rsidDel="00000000" w:rsidR="00000000" w:rsidRPr="00000000">
        <w:rPr>
          <w:rFonts w:ascii="Arial" w:cs="Arial" w:eastAsia="Arial" w:hAnsi="Arial"/>
          <w:b w:val="1"/>
          <w:color w:val="333333"/>
          <w:sz w:val="24"/>
          <w:szCs w:val="24"/>
          <w:u w:val="none"/>
          <w:rtl w:val="0"/>
        </w:rPr>
        <w:t xml:space="preserve">Non-operating Expenses</w:t>
      </w:r>
    </w:p>
    <w:p w:rsidR="00000000" w:rsidDel="00000000" w:rsidP="00000000" w:rsidRDefault="00000000" w:rsidRPr="00000000" w14:paraId="0000002F">
      <w:pPr>
        <w:numPr>
          <w:ilvl w:val="0"/>
          <w:numId w:val="9"/>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Interest Expense</w:t>
      </w:r>
      <w:r w:rsidDel="00000000" w:rsidR="00000000" w:rsidRPr="00000000">
        <w:rPr>
          <w:rFonts w:ascii="Arial" w:cs="Arial" w:eastAsia="Arial" w:hAnsi="Arial"/>
          <w:color w:val="333333"/>
          <w:sz w:val="24"/>
          <w:szCs w:val="24"/>
          <w:rtl w:val="0"/>
        </w:rPr>
        <w:t xml:space="preserve">: Interest on loans and lines of credit.</w:t>
      </w:r>
    </w:p>
    <w:p w:rsidR="00000000" w:rsidDel="00000000" w:rsidP="00000000" w:rsidRDefault="00000000" w:rsidRPr="00000000" w14:paraId="00000030">
      <w:pPr>
        <w:numPr>
          <w:ilvl w:val="0"/>
          <w:numId w:val="9"/>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Depreciation and Amortization</w:t>
      </w:r>
      <w:r w:rsidDel="00000000" w:rsidR="00000000" w:rsidRPr="00000000">
        <w:rPr>
          <w:rFonts w:ascii="Arial" w:cs="Arial" w:eastAsia="Arial" w:hAnsi="Arial"/>
          <w:color w:val="333333"/>
          <w:sz w:val="24"/>
          <w:szCs w:val="24"/>
          <w:rtl w:val="0"/>
        </w:rPr>
        <w:t xml:space="preserve">: Allocation of the cost of tangible and intangible assets over their useful lives.</w:t>
      </w:r>
    </w:p>
    <w:p w:rsidR="00000000" w:rsidDel="00000000" w:rsidP="00000000" w:rsidRDefault="00000000" w:rsidRPr="00000000" w14:paraId="00000031">
      <w:pPr>
        <w:pStyle w:val="Heading3"/>
        <w:keepNext w:val="0"/>
        <w:keepLines w:val="0"/>
        <w:shd w:fill="ffffff" w:val="clear"/>
        <w:spacing w:after="80" w:before="280" w:lineRule="auto"/>
        <w:rPr>
          <w:rFonts w:ascii="Arial" w:cs="Arial" w:eastAsia="Arial" w:hAnsi="Arial"/>
          <w:b w:val="1"/>
          <w:color w:val="333333"/>
        </w:rPr>
      </w:pPr>
      <w:bookmarkStart w:colFirst="0" w:colLast="0" w:name="_ufspyapg9qa5" w:id="14"/>
      <w:bookmarkEnd w:id="14"/>
      <w:r w:rsidDel="00000000" w:rsidR="00000000" w:rsidRPr="00000000">
        <w:rPr>
          <w:rFonts w:ascii="Arial" w:cs="Arial" w:eastAsia="Arial" w:hAnsi="Arial"/>
          <w:b w:val="1"/>
          <w:color w:val="333333"/>
          <w:rtl w:val="0"/>
        </w:rPr>
        <w:t xml:space="preserve">Conclusion</w:t>
      </w:r>
    </w:p>
    <w:p w:rsidR="00000000" w:rsidDel="00000000" w:rsidP="00000000" w:rsidRDefault="00000000" w:rsidRPr="00000000" w14:paraId="00000032">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This Chart of Accounts provides a foundational framework for construction companies to manage and report their financial activities accurately. It ensures that all financial transactions are categorized systematically, supporting effective project cost tracking, financial analysis, and strategic decision-making. Regular review and customization of the CoA are essential to accommodate the dynamic nature of the construction industry and the specific needs of the company.</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4"/>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9"/>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