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674ea7"/>
          <w:sz w:val="60"/>
          <w:szCs w:val="60"/>
        </w:rPr>
      </w:pPr>
      <w:bookmarkStart w:colFirst="0" w:colLast="0" w:name="_lf8dmjhy6fq6" w:id="0"/>
      <w:bookmarkEnd w:id="0"/>
      <w:r w:rsidDel="00000000" w:rsidR="00000000" w:rsidRPr="00000000">
        <w:rPr>
          <w:rFonts w:ascii="Roboto" w:cs="Roboto" w:eastAsia="Roboto" w:hAnsi="Roboto"/>
          <w:color w:val="674ea7"/>
          <w:sz w:val="60"/>
          <w:szCs w:val="60"/>
          <w:rtl w:val="0"/>
        </w:rPr>
        <w:t xml:space="preserve">Real Estate Consultant Company Profile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Apex Realty Advisors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Founded: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2015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Headquarters: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New York, NY, USA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Mission: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empower clients with insightful, data-driven real estate advice, enabling informed decisions in buying, selling, leasing, and investing in properties.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Vision: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be the premier real estate consultancy known for integrity, expertise, and an unwavering commitment to client success in the global real estate market.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Services: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Market Analysis: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Providing comprehensive market insights and trends analysis to guide clients through the complexities of the real estate market.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Investment Advisory: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Offering tailored investment strategies to maximize returns and minimize risks for individual investors, real estate funds, and institutional clients.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Commercial Leasing and Sales: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Specializing in commercial properties, helping businesses find ideal locations and negotiate lease terms or purchase agreements.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Residential Advisory: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Assisting individuals and families in navigating the home buying or selling process with personalized service and expert negotiation.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Property Valuation: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Utilizing cutting-edge tools and methodologies to accurately assess property values for sales, acquisitions, and investment analysis.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Portfolio Management: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Advising on portfolio strategy, optimization, and diversification to achieve long-term investment goals.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Differentiators: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Client-Centric Approach: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Each client's needs are unique, and our bespoke advisory services reflect a deep understanding of their objectives and challenges.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Global Perspective: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With a network of international partners, we provide insights into both local and global market dynamics.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Technology-Driven Solutions: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Leveraging the latest technology in data analytics and digital tools to provide clients with a competitive edge.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Sustainability Consulting: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Advising clients on incorporating sustainability into their real estate investments to enhance value and future-proof assets.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Awards and Recognition: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Apex Realty Advisors has been recognized for excellence in real estate consulting, including awards for innovation, customer service, and leadership in sustainability within the real estate sector.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Corporate Social Responsibility: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Committed to making a positive impact on communities, Apex Realty Advisors engages in initiatives aimed at affordable housing, education, and environmental sustainability.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Website: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www.apexrealtyadvisors.com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contact@apexrealtyadvisors.com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+1 (555) 789-0123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At Apex Realty Advisors, we guide our clients through every step of their real estate journey with expertise, dedication, and a vision for success.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://www.apexrealtyadvisors.com/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