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3c78d8"/>
          <w:sz w:val="60"/>
          <w:szCs w:val="60"/>
          <w:u w:val="single"/>
        </w:rPr>
      </w:pPr>
      <w:r w:rsidDel="00000000" w:rsidR="00000000" w:rsidRPr="00000000">
        <w:rPr>
          <w:rFonts w:ascii="Georgia" w:cs="Georgia" w:eastAsia="Georgia" w:hAnsi="Georgia"/>
          <w:b w:val="1"/>
          <w:color w:val="3c78d8"/>
          <w:sz w:val="60"/>
          <w:szCs w:val="60"/>
          <w:u w:val="single"/>
          <w:rtl w:val="0"/>
        </w:rPr>
        <w:t xml:space="preserve">Abstract Writing in Report</w:t>
      </w:r>
    </w:p>
    <w:p w:rsidR="00000000" w:rsidDel="00000000" w:rsidP="00000000" w:rsidRDefault="00000000" w:rsidRPr="00000000" w14:paraId="00000002">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Title of the Report:</w:t>
      </w:r>
      <w:r w:rsidDel="00000000" w:rsidR="00000000" w:rsidRPr="00000000">
        <w:rPr>
          <w:rFonts w:ascii="Arial" w:cs="Arial" w:eastAsia="Arial" w:hAnsi="Arial"/>
          <w:color w:val="434343"/>
          <w:sz w:val="24"/>
          <w:szCs w:val="24"/>
          <w:rtl w:val="0"/>
        </w:rPr>
        <w:t xml:space="preserve"> Evaluating the Effectiveness of Remote Learning in Secondary Education</w:t>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Abstract</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Purpose:</w:t>
      </w:r>
      <w:r w:rsidDel="00000000" w:rsidR="00000000" w:rsidRPr="00000000">
        <w:rPr>
          <w:rFonts w:ascii="Arial" w:cs="Arial" w:eastAsia="Arial" w:hAnsi="Arial"/>
          <w:color w:val="434343"/>
          <w:sz w:val="24"/>
          <w:szCs w:val="24"/>
          <w:rtl w:val="0"/>
        </w:rPr>
        <w:t xml:space="preserve"> This report investigates the effectiveness of remote learning platforms in secondary education, aiming to assess their impact on student academic performance and engagement compared to traditional classroom settings.</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Methodology:</w:t>
      </w:r>
      <w:r w:rsidDel="00000000" w:rsidR="00000000" w:rsidRPr="00000000">
        <w:rPr>
          <w:rFonts w:ascii="Arial" w:cs="Arial" w:eastAsia="Arial" w:hAnsi="Arial"/>
          <w:color w:val="434343"/>
          <w:sz w:val="24"/>
          <w:szCs w:val="24"/>
          <w:rtl w:val="0"/>
        </w:rPr>
        <w:t xml:space="preserve"> The evaluation was conducted through a mixed-methods approach, combining quantitative data from standardized test scores of 500 students from ten secondary schools with qualitative data from interviews with teachers, students, and parents. The study spanned the 2022-2023 academic year, focusing on diverse subjects including mathematics, science, and literature.</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Results:</w:t>
      </w:r>
      <w:r w:rsidDel="00000000" w:rsidR="00000000" w:rsidRPr="00000000">
        <w:rPr>
          <w:rFonts w:ascii="Arial" w:cs="Arial" w:eastAsia="Arial" w:hAnsi="Arial"/>
          <w:color w:val="434343"/>
          <w:sz w:val="24"/>
          <w:szCs w:val="24"/>
          <w:rtl w:val="0"/>
        </w:rPr>
        <w:t xml:space="preserve"> The quantitative analysis revealed that students engaging in remote learning showed a slight decline in test scores by an average of 5% compared to their peers in traditional classroom environments. However, qualitative data indicated increased flexibility and self-paced learning as significant benefits, with 60% of students and 70% of parents reporting higher satisfaction with the ability to manage learning schedules.</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Conclusion:</w:t>
      </w:r>
      <w:r w:rsidDel="00000000" w:rsidR="00000000" w:rsidRPr="00000000">
        <w:rPr>
          <w:rFonts w:ascii="Arial" w:cs="Arial" w:eastAsia="Arial" w:hAnsi="Arial"/>
          <w:color w:val="434343"/>
          <w:sz w:val="24"/>
          <w:szCs w:val="24"/>
          <w:rtl w:val="0"/>
        </w:rPr>
        <w:t xml:space="preserve"> The report concludes that while remote learning offers notable advantages in flexibility and student autonomy, it may require enhanced instructional strategies and more robust engagement practices to match the academic outcomes of traditional teaching methods. Recommendations include the integration of hybrid teaching models and increased professional development for educators in online instructional methods.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Keywords:</w:t>
      </w:r>
      <w:r w:rsidDel="00000000" w:rsidR="00000000" w:rsidRPr="00000000">
        <w:rPr>
          <w:rFonts w:ascii="Arial" w:cs="Arial" w:eastAsia="Arial" w:hAnsi="Arial"/>
          <w:color w:val="434343"/>
          <w:sz w:val="24"/>
          <w:szCs w:val="24"/>
          <w:rtl w:val="0"/>
        </w:rPr>
        <w:t xml:space="preserve"> Remote Learning, Secondary Education, Academic Performance, Student Engagement, Mixed-Methods Evaluation</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