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00ab4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60"/>
          <w:szCs w:val="60"/>
          <w:rtl w:val="0"/>
        </w:rPr>
        <w:t xml:space="preserve">Us-Cert Incident Reporting Timelines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5i6ujabk27bu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United States Computer Emergency Readiness Team (US-CERT) plays a crucial role in the nation's cybersecurity framework by providing timely and actionable information to protect against cyber threats. Reporting cyber incidents to US-CERT is essential for national security, enabling a coordinated response to mitigate and prevent further damage. This report outlines the key incident reporting timelines and requirements for organizations to comply with US-CERT guidelines.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ho15y532y5j7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1. Reporting Categories and Timelines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US-CERT categorizes incidents based on their severity and potential impact. Each category has specific reporting timelines to ensure prompt and appropriate responses.</w:t>
      </w:r>
    </w:p>
    <w:p w:rsidR="00000000" w:rsidDel="00000000" w:rsidP="00000000" w:rsidRDefault="00000000" w:rsidRPr="00000000" w14:paraId="00000007">
      <w:pPr>
        <w:pStyle w:val="Heading5"/>
        <w:keepNext w:val="0"/>
        <w:keepLines w:val="0"/>
        <w:spacing w:after="40" w:before="22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rihtkpgics9q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1.1. Category 1: Emergency (Critical Infrastructure)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Definition: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Incidents that pose an immediate threat to critical infrastructure, national security, or public health and safety.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Reporting Timeline: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Within 1 hour of detection.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Large-scale denial of service attacks, significant data breaches affecting critical infrastructure, and malware infections on systems controlling critical operations.</w:t>
      </w:r>
    </w:p>
    <w:p w:rsidR="00000000" w:rsidDel="00000000" w:rsidP="00000000" w:rsidRDefault="00000000" w:rsidRPr="00000000" w14:paraId="0000000B">
      <w:pPr>
        <w:pStyle w:val="Heading5"/>
        <w:keepNext w:val="0"/>
        <w:keepLines w:val="0"/>
        <w:spacing w:after="40" w:before="22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4puzehro0gkh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1.2. Category 2: Significant Incident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Definition: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Incidents that have a significant impact on an organization's operations or pose a substantial threat to national security or public confidence.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Reporting Timeline: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Within 2 hours of detection.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Targeted cyberattacks on major financial institutions, widespread ransomware attacks, and breaches involving sensitive government data.</w:t>
      </w:r>
    </w:p>
    <w:p w:rsidR="00000000" w:rsidDel="00000000" w:rsidP="00000000" w:rsidRDefault="00000000" w:rsidRPr="00000000" w14:paraId="0000000F">
      <w:pPr>
        <w:pStyle w:val="Heading5"/>
        <w:keepNext w:val="0"/>
        <w:keepLines w:val="0"/>
        <w:spacing w:after="40" w:before="22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rq7sys2vp10o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1.3. Category 3: Moderate Incident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Definition: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Incidents that have a moderate impact on an organization's operations but do not pose an immediate threat to national security or critical infrastructure.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Reporting Timeline: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Within 4 hours of detection.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Unauthorized access to non-critical systems, phishing campaigns that do not result in significant data loss, and malware infections on non-critical systems.</w:t>
      </w:r>
    </w:p>
    <w:p w:rsidR="00000000" w:rsidDel="00000000" w:rsidP="00000000" w:rsidRDefault="00000000" w:rsidRPr="00000000" w14:paraId="00000013">
      <w:pPr>
        <w:pStyle w:val="Heading5"/>
        <w:keepNext w:val="0"/>
        <w:keepLines w:val="0"/>
        <w:spacing w:after="40" w:before="22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wkdqgxdd7jl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1.4. Category 4: Minor Incident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Definition: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Incidents that have a minor impact on an organization's operations and do not pose a threat to national security or critical infrastructure.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Reporting Timeline: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Within 24 hours of detection.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Low-level malware infections, unsuccessful phishing attempts, and minor data breaches involving non-sensitive information.</w:t>
      </w:r>
    </w:p>
    <w:p w:rsidR="00000000" w:rsidDel="00000000" w:rsidP="00000000" w:rsidRDefault="00000000" w:rsidRPr="00000000" w14:paraId="00000017">
      <w:pPr>
        <w:pStyle w:val="Heading5"/>
        <w:keepNext w:val="0"/>
        <w:keepLines w:val="0"/>
        <w:spacing w:after="40" w:before="22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vdh00wdyz1hn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1.5. Category 5: Ongoing Malicious Activity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Definition: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Incidents involving ongoing malicious activity that has not yet caused significant damage but could escalate if not addressed.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Reporting Timeline: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Within 1 hour of detection.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Detection of advanced persistent threats (APTs) or indicators of compromise (IOCs) suggesting a potential larger attack.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6v4a28pozkot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2. Reporting Process</w:t>
      </w:r>
    </w:p>
    <w:p w:rsidR="00000000" w:rsidDel="00000000" w:rsidP="00000000" w:rsidRDefault="00000000" w:rsidRPr="00000000" w14:paraId="0000001C">
      <w:pPr>
        <w:pStyle w:val="Heading5"/>
        <w:keepNext w:val="0"/>
        <w:keepLines w:val="0"/>
        <w:spacing w:after="40" w:before="22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a2jcuytdvl2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2.1. Initial Notification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Initial reports should include basic information about the incident, such as the type of incident, affected systems, and initial assessment of impact.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Method: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Submit the report through US-CERT's online reporting portal, email, or phone.</w:t>
      </w:r>
    </w:p>
    <w:p w:rsidR="00000000" w:rsidDel="00000000" w:rsidP="00000000" w:rsidRDefault="00000000" w:rsidRPr="00000000" w14:paraId="0000001F">
      <w:pPr>
        <w:pStyle w:val="Heading5"/>
        <w:keepNext w:val="0"/>
        <w:keepLines w:val="0"/>
        <w:spacing w:after="40" w:before="22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ykad48t31p75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2.2. Follow-Up Reports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Provide detailed information as it becomes available, including root cause analysis, mitigation actions taken, and any further impact assessment.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Frequency: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Continuous updates should be provided as new information is discovered and the situation evolves.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sr7crwk2sv05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3. Legal and Regulatory Compliance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Federal Agencies: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Must comply with the Federal Information Security Modernization Act (FISMA) reporting requirements and coordinate with the Department of Homeland Security (DHS) and other relevant agencies.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Private Sector: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While reporting is generally voluntary, compliance with US-CERT guidelines can enhance an organization's cybersecurity posture and support national security efforts.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vt258a34v12q" w:id="11"/>
      <w:bookmarkEnd w:id="1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4. Best Practices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Preparedness: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Develop and maintain an incident response plan that includes procedures for reporting to US-CERT.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Training: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Regularly train employees on recognizing and reporting cyber incidents.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Establish clear lines of communication with US-CERT and other relevant authorities to facilitate timely reporting and response.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o31jifb6f4ej" w:id="12"/>
      <w:bookmarkEnd w:id="1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Conclusion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Timely and accurate reporting of cyber incidents to US-CERT is vital for national cybersecurity. Adhering to the established timelines and processes ensures a coordinated response, minimizing the impact of cyber threats and enhancing the overall security posture of organizations and the nation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