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Resignation Letter For Medical Staff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David Anderson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123 Oak Street</w:t>
        <w:br w:type="textWrapping"/>
        <w:t xml:space="preserve">Springfield, IL 62701</w:t>
        <w:br w:type="textWrapping"/>
        <w:t xml:space="preserve">david.anderson@example.com</w:t>
        <w:br w:type="textWrapping"/>
        <w:t xml:space="preserve">(555) 654-3210</w:t>
        <w:br w:type="textWrapping"/>
        <w:t xml:space="preserve">August 6,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Dr. Sarah Lee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Medical Superintendent</w:t>
        <w:br w:type="textWrapping"/>
        <w:t xml:space="preserve">Springfield Medical Center</w:t>
        <w:br w:type="textWrapping"/>
        <w:t xml:space="preserve">456 Pine Avenue</w:t>
        <w:br w:type="textWrapping"/>
        <w:t xml:space="preserve">Springfield, IL 62702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Dear Dr. Lee,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am writing to formally resign from my position as [Your Position] at Springfield Medical Center, effective August 20, 2024.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Due to an unforeseen medical emergency, I must prioritize my health and recovery, which requires an immediate leave of absence. After consulting with my healthcare provider, it has become clear that I need to focus entirely on my treatment and recuperation.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am deeply grateful for the opportunities and experiences I have had while working at Springfield Medical Center. The support and camaraderie from my colleagues and the leadership team have been invaluable, and I am proud of the work we have accomplished together.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will do my best to ensure a smooth transition and will assist in any way possible to transfer my responsibilities. Please let me know how I can help during this period.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Thank you for your understanding and support during this challenging time. I hope to stay in touch and would be open to discussing any potential future opportunities once my health improves.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666666"/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David Anderson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