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741b47"/>
          <w:sz w:val="60"/>
          <w:szCs w:val="60"/>
        </w:rPr>
      </w:pPr>
      <w:bookmarkStart w:colFirst="0" w:colLast="0" w:name="_z7bbyu7n2v77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741b47"/>
          <w:sz w:val="60"/>
          <w:szCs w:val="60"/>
          <w:rtl w:val="0"/>
        </w:rPr>
        <w:t xml:space="preserve">Proposal Request Letter For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Chief Executive Officer</w:t>
        <w:br w:type="textWrapping"/>
        <w:t xml:space="preserve">Innovative Ventures Inc.</w:t>
        <w:br w:type="textWrapping"/>
        <w:t xml:space="preserve">123 Innovation Drive</w:t>
        <w:br w:type="textWrapping"/>
        <w:t xml:space="preserve">Tech City, NY 12345</w:t>
        <w:br w:type="textWrapping"/>
        <w:t xml:space="preserve">jane.smith@innovativeventures.com</w:t>
        <w:br w:type="textWrapping"/>
        <w:t xml:space="preserve">555-678-9101</w:t>
        <w:br w:type="textWrapping"/>
        <w:t xml:space="preserve">May 27,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Doe</w:t>
        <w:br w:type="textWrapping"/>
        <w:t xml:space="preserve">Director of Funding</w:t>
        <w:br w:type="textWrapping"/>
        <w:t xml:space="preserve">Global Funding Solutions</w:t>
        <w:br w:type="textWrapping"/>
        <w:t xml:space="preserve">456 Financial Avenue</w:t>
        <w:br w:type="textWrapping"/>
        <w:t xml:space="preserve">Business City, NY 67890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Doe,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4izl77trtf0a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Request for Funding Proposal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on behalf of Innovative Ventures Inc. to formally request a proposal for potential funding to support our upcoming project, [Project Name]. We have identified Global Funding Solutions as an ideal partner due to your extensive experience in financing innovative technology projects and your commitment to fostering growth in the tech sector.</w:t>
      </w:r>
    </w:p>
    <w:p w:rsidR="00000000" w:rsidDel="00000000" w:rsidP="00000000" w:rsidRDefault="00000000" w:rsidRPr="00000000" w14:paraId="00000008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y0x27tlwkxap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Overview: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Innovative Ventures Inc. is a leader in developing advanced technology solutions that drive efficiency and innovation across multiple industries. Since our establishment in 2018, we have achieved notable milestones including: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Patented Technology: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Our proprietary technology has been awarded several patents and industry accolades.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Market Expansion: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We have successfully entered key markets in North America and Europe.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Strong Client Base: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Our clients include Fortune 500 companies and top-tier industry leaders.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66t7ph9eucy3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Funding Opportunity: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seeking funding of $5 million to accelerate our next phase of growth, focusing on the following areas: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Research and Development (R&amp;D):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$2 million to enhance our technology and develop new features.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Marketing and Sales: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$1.5 million to expand our market presence and boost brand visibility.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Talent Acquisition: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$1 million to attract and retain top talent in the industry.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Operational Expansion: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$0.5 million to improve our operational infrastructure and capabilities.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d8c2ganmp02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Benefits for Funders: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Equity Stake: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An attractive equity stake in a high-growth technology company.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Significant Growth Potential: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Invest in a company with substantial market opportunities and a proven growth trajectory.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Strategic Collaboration: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Partner with a dynamic team dedicated to technological innovation and excellence.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txecbhrflgz5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Supporting Documents: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find enclosed the following documents to assist in your evaluation: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Business Plan: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comprehensive business plan outlining our vision, mission, and growth strategy.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Projections: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Detailed financial projections for the next five years.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Project Proposal: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An in-depth proposal of [Project Name], including objectives, scope, and expected outcomes.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t0vr9lgep01h" w:id="6"/>
      <w:bookmarkEnd w:id="6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would be delighted to discuss this funding opportunity further and address any questions you may have. Please contact me at 555-678-9101 or jane.smith@innovativeventures.com to schedule a meeting at your earliest convenience.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Innovative Ventures Inc. for your funding support. We look forward to the possibility of partnering with Global Funding Solutions and achieving mutual success.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Jane Smith</w:t>
        <w:br w:type="textWrapping"/>
        <w:t xml:space="preserve">Chief Executive Officer</w:t>
        <w:br w:type="textWrapping"/>
        <w:t xml:space="preserve">Innovative Ventures Inc.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