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Georgia" w:cs="Georgia" w:eastAsia="Georgia" w:hAnsi="Georgia"/>
          <w:b w:val="1"/>
          <w:color w:val="741b47"/>
          <w:sz w:val="60"/>
          <w:szCs w:val="60"/>
        </w:rPr>
      </w:pPr>
      <w:r w:rsidDel="00000000" w:rsidR="00000000" w:rsidRPr="00000000">
        <w:rPr>
          <w:rFonts w:ascii="Georgia" w:cs="Georgia" w:eastAsia="Georgia" w:hAnsi="Georgia"/>
          <w:b w:val="1"/>
          <w:color w:val="741b47"/>
          <w:sz w:val="60"/>
          <w:szCs w:val="60"/>
          <w:rtl w:val="0"/>
        </w:rPr>
        <w:t xml:space="preserve">Office Visit Report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Date of Visit: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August 5, 2024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Patient Information: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John Doe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Date of Birth: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January 15, 1985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Gender: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Male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Contact Information: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123-456-7890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Visit Details: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Appointment Time: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10:00 AM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Physician: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Dr. Jane Smith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Nurse/Assistant: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Mary Johnson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Reason for Visit: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spacing w:after="240" w:before="24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Routine annual check-up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Medical History: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Current Medications: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Lisinopril 10mg daily, Atorvastatin 20mg daily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Allergies: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Penicillin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Past Medical History: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Hypertension, Hyperlipidemia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Family Medical History: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Father with coronary artery disease, mother with type 2 diabetes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Vital Signs: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Blood Pressure: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130/85 mmHg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Heart Rate: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72 bpm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Respiratory Rate: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16 breaths/min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Temperature: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98.6°F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Weight: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180 lbs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Height: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5'10"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BMI: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25.8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Physical Examination: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General Appearance: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Well-nourished, no acute distress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Head and Neck: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No lymphadenopathy, thyroid normal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Cardiovascular: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Regular rate and rhythm, no murmurs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Respiratory: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Clear to auscultation bilaterally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Abdomen: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Soft, non-tender, no hepatosplenomegaly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Musculoskeletal: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Full range of motion, no swelling or tenderness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Neurological: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Alert and oriented, cranial nerves intact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Skin: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No rashes or lesions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Laboratory and Diagnostic Tests: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Tests Ordered: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CBC, Lipid panel, HbA1c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Pending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Assessment and Plan: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Assessment:</w:t>
      </w:r>
    </w:p>
    <w:p w:rsidR="00000000" w:rsidDel="00000000" w:rsidP="00000000" w:rsidRDefault="00000000" w:rsidRPr="00000000" w14:paraId="0000002A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Hypertension, controlled</w:t>
      </w:r>
    </w:p>
    <w:p w:rsidR="00000000" w:rsidDel="00000000" w:rsidP="00000000" w:rsidRDefault="00000000" w:rsidRPr="00000000" w14:paraId="0000002B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Hyperlipidemia, controlled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Plan:</w:t>
      </w:r>
    </w:p>
    <w:p w:rsidR="00000000" w:rsidDel="00000000" w:rsidP="00000000" w:rsidRDefault="00000000" w:rsidRPr="00000000" w14:paraId="0000002D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Continue Lisinopril 10mg daily</w:t>
      </w:r>
    </w:p>
    <w:p w:rsidR="00000000" w:rsidDel="00000000" w:rsidP="00000000" w:rsidRDefault="00000000" w:rsidRPr="00000000" w14:paraId="0000002E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Continue Atorvastatin 20mg daily</w:t>
      </w:r>
    </w:p>
    <w:p w:rsidR="00000000" w:rsidDel="00000000" w:rsidP="00000000" w:rsidRDefault="00000000" w:rsidRPr="00000000" w14:paraId="0000002F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Follow-up in 6 months for blood pressure and lipid panel recheck</w:t>
      </w:r>
    </w:p>
    <w:p w:rsidR="00000000" w:rsidDel="00000000" w:rsidP="00000000" w:rsidRDefault="00000000" w:rsidRPr="00000000" w14:paraId="00000030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Referral to dietitian for dietary counseling</w:t>
      </w:r>
    </w:p>
    <w:p w:rsidR="00000000" w:rsidDel="00000000" w:rsidP="00000000" w:rsidRDefault="00000000" w:rsidRPr="00000000" w14:paraId="00000031">
      <w:pPr>
        <w:numPr>
          <w:ilvl w:val="1"/>
          <w:numId w:val="5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Patient education on lifestyle modifications (diet, exercise)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Notes: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Patient advised to monitor blood pressure at home and keep a log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Discussed importance of regular exercise and a heart-healthy diet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Physician’s Signature: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____________________________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August 5, 2024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Patient’s Signature: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____________________________</w:t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rFonts w:ascii="Arial" w:cs="Arial" w:eastAsia="Arial" w:hAnsi="Arial"/>
          <w:color w:val="66666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August 5, 2024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Georgia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