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783f04"/>
          <w:sz w:val="60"/>
          <w:szCs w:val="60"/>
        </w:rPr>
      </w:pPr>
      <w:r w:rsidDel="00000000" w:rsidR="00000000" w:rsidRPr="00000000">
        <w:rPr>
          <w:rFonts w:ascii="Roboto" w:cs="Roboto" w:eastAsia="Roboto" w:hAnsi="Roboto"/>
          <w:b w:val="1"/>
          <w:color w:val="783f04"/>
          <w:sz w:val="60"/>
          <w:szCs w:val="60"/>
          <w:rtl w:val="0"/>
        </w:rPr>
        <w:t xml:space="preserve">Financial Feasibility Report</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jz91j849njzc" w:id="0"/>
      <w:bookmarkEnd w:id="0"/>
      <w:r w:rsidDel="00000000" w:rsidR="00000000" w:rsidRPr="00000000">
        <w:rPr>
          <w:rFonts w:ascii="Arial" w:cs="Arial" w:eastAsia="Arial" w:hAnsi="Arial"/>
          <w:b w:val="1"/>
          <w:color w:val="333333"/>
          <w:sz w:val="24"/>
          <w:szCs w:val="24"/>
          <w:rtl w:val="0"/>
        </w:rPr>
        <w:t xml:space="preserve">Financial Feasibility Report for "QuickServe" - A Fast-Casual Dining Restaurant</w:t>
      </w:r>
    </w:p>
    <w:p w:rsidR="00000000" w:rsidDel="00000000" w:rsidP="00000000" w:rsidRDefault="00000000" w:rsidRPr="00000000" w14:paraId="00000006">
      <w:pPr>
        <w:pStyle w:val="Heading3"/>
        <w:spacing w:after="80" w:before="280" w:line="360" w:lineRule="auto"/>
        <w:rPr>
          <w:rFonts w:ascii="Arial" w:cs="Arial" w:eastAsia="Arial" w:hAnsi="Arial"/>
          <w:b w:val="1"/>
          <w:color w:val="333333"/>
          <w:sz w:val="24"/>
          <w:szCs w:val="24"/>
        </w:rPr>
      </w:pPr>
      <w:bookmarkStart w:colFirst="0" w:colLast="0" w:name="_3euz2y7ijuu1" w:id="1"/>
      <w:bookmarkEnd w:id="1"/>
      <w:r w:rsidDel="00000000" w:rsidR="00000000" w:rsidRPr="00000000">
        <w:rPr>
          <w:rFonts w:ascii="Arial" w:cs="Arial" w:eastAsia="Arial" w:hAnsi="Arial"/>
          <w:b w:val="1"/>
          <w:color w:val="333333"/>
          <w:sz w:val="24"/>
          <w:szCs w:val="24"/>
          <w:rtl w:val="0"/>
        </w:rPr>
        <w:t xml:space="preserve">Executive Summary</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financial feasibility report evaluates the viability of launching </w:t>
      </w:r>
      <w:r w:rsidDel="00000000" w:rsidR="00000000" w:rsidRPr="00000000">
        <w:rPr>
          <w:rFonts w:ascii="Arial" w:cs="Arial" w:eastAsia="Arial" w:hAnsi="Arial"/>
          <w:b w:val="1"/>
          <w:color w:val="333333"/>
          <w:sz w:val="24"/>
          <w:szCs w:val="24"/>
          <w:rtl w:val="0"/>
        </w:rPr>
        <w:t xml:space="preserve">QuickServe</w:t>
      </w:r>
      <w:r w:rsidDel="00000000" w:rsidR="00000000" w:rsidRPr="00000000">
        <w:rPr>
          <w:rFonts w:ascii="Arial" w:cs="Arial" w:eastAsia="Arial" w:hAnsi="Arial"/>
          <w:color w:val="333333"/>
          <w:sz w:val="24"/>
          <w:szCs w:val="24"/>
          <w:rtl w:val="0"/>
        </w:rPr>
        <w:t xml:space="preserve">, a fast-casual dining restaurant focusing on healthy, quick, and affordable meal options. The report analyzes startup costs, revenue projections, cash flow analysis, and profitability to assess the financial prospects of this venture. </w:t>
      </w:r>
      <w:r w:rsidDel="00000000" w:rsidR="00000000" w:rsidRPr="00000000">
        <w:rPr>
          <w:rFonts w:ascii="Arial" w:cs="Arial" w:eastAsia="Arial" w:hAnsi="Arial"/>
          <w:b w:val="1"/>
          <w:color w:val="333333"/>
          <w:sz w:val="24"/>
          <w:szCs w:val="24"/>
          <w:rtl w:val="0"/>
        </w:rPr>
        <w:t xml:space="preserve">QuickServe</w:t>
      </w:r>
      <w:r w:rsidDel="00000000" w:rsidR="00000000" w:rsidRPr="00000000">
        <w:rPr>
          <w:rFonts w:ascii="Arial" w:cs="Arial" w:eastAsia="Arial" w:hAnsi="Arial"/>
          <w:color w:val="333333"/>
          <w:sz w:val="24"/>
          <w:szCs w:val="24"/>
          <w:rtl w:val="0"/>
        </w:rPr>
        <w:t xml:space="preserve"> aims to cater to the growing market of health-conscious consumers seeking convenient dining experiences.</w:t>
      </w:r>
    </w:p>
    <w:p w:rsidR="00000000" w:rsidDel="00000000" w:rsidP="00000000" w:rsidRDefault="00000000" w:rsidRPr="00000000" w14:paraId="00000008">
      <w:pPr>
        <w:pStyle w:val="Heading3"/>
        <w:spacing w:after="80" w:before="280" w:line="360" w:lineRule="auto"/>
        <w:rPr>
          <w:rFonts w:ascii="Arial" w:cs="Arial" w:eastAsia="Arial" w:hAnsi="Arial"/>
          <w:b w:val="1"/>
          <w:color w:val="333333"/>
          <w:sz w:val="24"/>
          <w:szCs w:val="24"/>
        </w:rPr>
      </w:pPr>
      <w:bookmarkStart w:colFirst="0" w:colLast="0" w:name="_14cvoca8cex2" w:id="2"/>
      <w:bookmarkEnd w:id="2"/>
      <w:r w:rsidDel="00000000" w:rsidR="00000000" w:rsidRPr="00000000">
        <w:rPr>
          <w:rFonts w:ascii="Arial" w:cs="Arial" w:eastAsia="Arial" w:hAnsi="Arial"/>
          <w:b w:val="1"/>
          <w:color w:val="333333"/>
          <w:sz w:val="24"/>
          <w:szCs w:val="24"/>
          <w:rtl w:val="0"/>
        </w:rPr>
        <w:t xml:space="preserve">Startup Costs</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QuickServe</w:t>
      </w:r>
      <w:r w:rsidDel="00000000" w:rsidR="00000000" w:rsidRPr="00000000">
        <w:rPr>
          <w:rFonts w:ascii="Arial" w:cs="Arial" w:eastAsia="Arial" w:hAnsi="Arial"/>
          <w:color w:val="333333"/>
          <w:sz w:val="24"/>
          <w:szCs w:val="24"/>
          <w:rtl w:val="0"/>
        </w:rPr>
        <w:t xml:space="preserve">'s initial investment is categorized into fixed and variable costs. Key expenditures include:</w:t>
      </w:r>
    </w:p>
    <w:p w:rsidR="00000000" w:rsidDel="00000000" w:rsidP="00000000" w:rsidRDefault="00000000" w:rsidRPr="00000000" w14:paraId="0000000A">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Lease and Renovation</w:t>
      </w:r>
      <w:r w:rsidDel="00000000" w:rsidR="00000000" w:rsidRPr="00000000">
        <w:rPr>
          <w:rFonts w:ascii="Arial" w:cs="Arial" w:eastAsia="Arial" w:hAnsi="Arial"/>
          <w:color w:val="333333"/>
          <w:sz w:val="24"/>
          <w:szCs w:val="24"/>
          <w:rtl w:val="0"/>
        </w:rPr>
        <w:t xml:space="preserve">: $50,000 for securing a prime location and customizing the space.</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Equipment and Supplies</w:t>
      </w:r>
      <w:r w:rsidDel="00000000" w:rsidR="00000000" w:rsidRPr="00000000">
        <w:rPr>
          <w:rFonts w:ascii="Arial" w:cs="Arial" w:eastAsia="Arial" w:hAnsi="Arial"/>
          <w:color w:val="333333"/>
          <w:sz w:val="24"/>
          <w:szCs w:val="24"/>
          <w:rtl w:val="0"/>
        </w:rPr>
        <w:t xml:space="preserve">: $30,000 for kitchen equipment, furniture, and initial inventory.</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Marketing and Branding</w:t>
      </w:r>
      <w:r w:rsidDel="00000000" w:rsidR="00000000" w:rsidRPr="00000000">
        <w:rPr>
          <w:rFonts w:ascii="Arial" w:cs="Arial" w:eastAsia="Arial" w:hAnsi="Arial"/>
          <w:color w:val="333333"/>
          <w:sz w:val="24"/>
          <w:szCs w:val="24"/>
          <w:rtl w:val="0"/>
        </w:rPr>
        <w:t xml:space="preserve">: $10,000 for initial promotional activities to build brand awareness.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Operating Capital</w:t>
      </w:r>
      <w:r w:rsidDel="00000000" w:rsidR="00000000" w:rsidRPr="00000000">
        <w:rPr>
          <w:rFonts w:ascii="Arial" w:cs="Arial" w:eastAsia="Arial" w:hAnsi="Arial"/>
          <w:color w:val="333333"/>
          <w:sz w:val="24"/>
          <w:szCs w:val="24"/>
          <w:rtl w:val="0"/>
        </w:rPr>
        <w:t xml:space="preserve">: $20,000 to cover expenses during the initial months.</w:t>
      </w:r>
    </w:p>
    <w:p w:rsidR="00000000" w:rsidDel="00000000" w:rsidP="00000000" w:rsidRDefault="00000000" w:rsidRPr="00000000" w14:paraId="0000000E">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Total Estimated Startup Costs</w:t>
      </w:r>
      <w:r w:rsidDel="00000000" w:rsidR="00000000" w:rsidRPr="00000000">
        <w:rPr>
          <w:rFonts w:ascii="Arial" w:cs="Arial" w:eastAsia="Arial" w:hAnsi="Arial"/>
          <w:color w:val="333333"/>
          <w:sz w:val="24"/>
          <w:szCs w:val="24"/>
          <w:rtl w:val="0"/>
        </w:rPr>
        <w:t xml:space="preserve">: $110,000</w:t>
      </w:r>
    </w:p>
    <w:p w:rsidR="00000000" w:rsidDel="00000000" w:rsidP="00000000" w:rsidRDefault="00000000" w:rsidRPr="00000000" w14:paraId="0000000F">
      <w:pPr>
        <w:pStyle w:val="Heading3"/>
        <w:spacing w:after="80" w:before="280" w:line="360" w:lineRule="auto"/>
        <w:rPr>
          <w:rFonts w:ascii="Arial" w:cs="Arial" w:eastAsia="Arial" w:hAnsi="Arial"/>
          <w:b w:val="1"/>
          <w:color w:val="333333"/>
          <w:sz w:val="24"/>
          <w:szCs w:val="24"/>
        </w:rPr>
      </w:pPr>
      <w:bookmarkStart w:colFirst="0" w:colLast="0" w:name="_35llpbjbbt73" w:id="3"/>
      <w:bookmarkEnd w:id="3"/>
      <w:r w:rsidDel="00000000" w:rsidR="00000000" w:rsidRPr="00000000">
        <w:rPr>
          <w:rFonts w:ascii="Arial" w:cs="Arial" w:eastAsia="Arial" w:hAnsi="Arial"/>
          <w:b w:val="1"/>
          <w:color w:val="333333"/>
          <w:sz w:val="24"/>
          <w:szCs w:val="24"/>
          <w:rtl w:val="0"/>
        </w:rPr>
        <w:t xml:space="preserve">Revenue Projections</w:t>
      </w:r>
    </w:p>
    <w:p w:rsidR="00000000" w:rsidDel="00000000" w:rsidP="00000000" w:rsidRDefault="00000000" w:rsidRPr="00000000" w14:paraId="00000010">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nzmo23vufsjf" w:id="4"/>
      <w:bookmarkEnd w:id="4"/>
      <w:r w:rsidDel="00000000" w:rsidR="00000000" w:rsidRPr="00000000">
        <w:rPr>
          <w:rFonts w:ascii="Arial" w:cs="Arial" w:eastAsia="Arial" w:hAnsi="Arial"/>
          <w:b w:val="1"/>
          <w:color w:val="333333"/>
          <w:sz w:val="24"/>
          <w:szCs w:val="24"/>
          <w:u w:val="none"/>
          <w:rtl w:val="0"/>
        </w:rPr>
        <w:t xml:space="preserve">Year 1</w:t>
      </w:r>
    </w:p>
    <w:p w:rsidR="00000000" w:rsidDel="00000000" w:rsidP="00000000" w:rsidRDefault="00000000" w:rsidRPr="00000000" w14:paraId="00000011">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Average Sales</w:t>
      </w:r>
      <w:r w:rsidDel="00000000" w:rsidR="00000000" w:rsidRPr="00000000">
        <w:rPr>
          <w:rFonts w:ascii="Arial" w:cs="Arial" w:eastAsia="Arial" w:hAnsi="Arial"/>
          <w:color w:val="333333"/>
          <w:sz w:val="24"/>
          <w:szCs w:val="24"/>
          <w:rtl w:val="0"/>
        </w:rPr>
        <w:t xml:space="preserve">: $200,000, assuming steady customer growth and repeat business.</w:t>
      </w:r>
    </w:p>
    <w:p w:rsidR="00000000" w:rsidDel="00000000" w:rsidP="00000000" w:rsidRDefault="00000000" w:rsidRPr="00000000" w14:paraId="00000012">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Gross Margin</w:t>
      </w:r>
      <w:r w:rsidDel="00000000" w:rsidR="00000000" w:rsidRPr="00000000">
        <w:rPr>
          <w:rFonts w:ascii="Arial" w:cs="Arial" w:eastAsia="Arial" w:hAnsi="Arial"/>
          <w:color w:val="333333"/>
          <w:sz w:val="24"/>
          <w:szCs w:val="24"/>
          <w:rtl w:val="0"/>
        </w:rPr>
        <w:t xml:space="preserve">: 60%, typical for the fast-casual dining sector.</w:t>
      </w:r>
    </w:p>
    <w:p w:rsidR="00000000" w:rsidDel="00000000" w:rsidP="00000000" w:rsidRDefault="00000000" w:rsidRPr="00000000" w14:paraId="00000013">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ldv5qtvuxz9z" w:id="5"/>
      <w:bookmarkEnd w:id="5"/>
      <w:r w:rsidDel="00000000" w:rsidR="00000000" w:rsidRPr="00000000">
        <w:rPr>
          <w:rFonts w:ascii="Arial" w:cs="Arial" w:eastAsia="Arial" w:hAnsi="Arial"/>
          <w:b w:val="1"/>
          <w:color w:val="333333"/>
          <w:sz w:val="24"/>
          <w:szCs w:val="24"/>
          <w:u w:val="none"/>
          <w:rtl w:val="0"/>
        </w:rPr>
        <w:t xml:space="preserve">Year 2</w:t>
      </w:r>
    </w:p>
    <w:p w:rsidR="00000000" w:rsidDel="00000000" w:rsidP="00000000" w:rsidRDefault="00000000" w:rsidRPr="00000000" w14:paraId="00000014">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Projected Growth</w:t>
      </w:r>
      <w:r w:rsidDel="00000000" w:rsidR="00000000" w:rsidRPr="00000000">
        <w:rPr>
          <w:rFonts w:ascii="Arial" w:cs="Arial" w:eastAsia="Arial" w:hAnsi="Arial"/>
          <w:color w:val="333333"/>
          <w:sz w:val="24"/>
          <w:szCs w:val="24"/>
          <w:rtl w:val="0"/>
        </w:rPr>
        <w:t xml:space="preserve">: 25%, resulting from expanded marketing and word-of-mouth referrals.</w:t>
      </w:r>
    </w:p>
    <w:p w:rsidR="00000000" w:rsidDel="00000000" w:rsidP="00000000" w:rsidRDefault="00000000" w:rsidRPr="00000000" w14:paraId="00000015">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Estimated Sales</w:t>
      </w:r>
      <w:r w:rsidDel="00000000" w:rsidR="00000000" w:rsidRPr="00000000">
        <w:rPr>
          <w:rFonts w:ascii="Arial" w:cs="Arial" w:eastAsia="Arial" w:hAnsi="Arial"/>
          <w:color w:val="333333"/>
          <w:sz w:val="24"/>
          <w:szCs w:val="24"/>
          <w:rtl w:val="0"/>
        </w:rPr>
        <w:t xml:space="preserve">: $250,000.</w:t>
      </w:r>
    </w:p>
    <w:p w:rsidR="00000000" w:rsidDel="00000000" w:rsidP="00000000" w:rsidRDefault="00000000" w:rsidRPr="00000000" w14:paraId="00000016">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qqu0bpun5vlu" w:id="6"/>
      <w:bookmarkEnd w:id="6"/>
      <w:r w:rsidDel="00000000" w:rsidR="00000000" w:rsidRPr="00000000">
        <w:rPr>
          <w:rFonts w:ascii="Arial" w:cs="Arial" w:eastAsia="Arial" w:hAnsi="Arial"/>
          <w:b w:val="1"/>
          <w:color w:val="333333"/>
          <w:sz w:val="24"/>
          <w:szCs w:val="24"/>
          <w:u w:val="none"/>
          <w:rtl w:val="0"/>
        </w:rPr>
        <w:t xml:space="preserve">Year 3</w:t>
      </w:r>
    </w:p>
    <w:p w:rsidR="00000000" w:rsidDel="00000000" w:rsidP="00000000" w:rsidRDefault="00000000" w:rsidRPr="00000000" w14:paraId="00000017">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Sustained Growth</w:t>
      </w:r>
      <w:r w:rsidDel="00000000" w:rsidR="00000000" w:rsidRPr="00000000">
        <w:rPr>
          <w:rFonts w:ascii="Arial" w:cs="Arial" w:eastAsia="Arial" w:hAnsi="Arial"/>
          <w:color w:val="333333"/>
          <w:sz w:val="24"/>
          <w:szCs w:val="24"/>
          <w:rtl w:val="0"/>
        </w:rPr>
        <w:t xml:space="preserve">: 20%, with potential expansion or franchising opportunities.</w:t>
      </w:r>
    </w:p>
    <w:p w:rsidR="00000000" w:rsidDel="00000000" w:rsidP="00000000" w:rsidRDefault="00000000" w:rsidRPr="00000000" w14:paraId="00000018">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Projected Sales</w:t>
      </w:r>
      <w:r w:rsidDel="00000000" w:rsidR="00000000" w:rsidRPr="00000000">
        <w:rPr>
          <w:rFonts w:ascii="Arial" w:cs="Arial" w:eastAsia="Arial" w:hAnsi="Arial"/>
          <w:color w:val="333333"/>
          <w:sz w:val="24"/>
          <w:szCs w:val="24"/>
          <w:rtl w:val="0"/>
        </w:rPr>
        <w:t xml:space="preserve">: $300,000.</w:t>
      </w:r>
    </w:p>
    <w:p w:rsidR="00000000" w:rsidDel="00000000" w:rsidP="00000000" w:rsidRDefault="00000000" w:rsidRPr="00000000" w14:paraId="00000019">
      <w:pPr>
        <w:pStyle w:val="Heading3"/>
        <w:spacing w:after="80" w:before="280" w:line="360" w:lineRule="auto"/>
        <w:rPr>
          <w:rFonts w:ascii="Arial" w:cs="Arial" w:eastAsia="Arial" w:hAnsi="Arial"/>
          <w:b w:val="1"/>
          <w:color w:val="333333"/>
          <w:sz w:val="24"/>
          <w:szCs w:val="24"/>
        </w:rPr>
      </w:pPr>
      <w:bookmarkStart w:colFirst="0" w:colLast="0" w:name="_dst4gu4tv9fe" w:id="7"/>
      <w:bookmarkEnd w:id="7"/>
      <w:r w:rsidDel="00000000" w:rsidR="00000000" w:rsidRPr="00000000">
        <w:rPr>
          <w:rFonts w:ascii="Arial" w:cs="Arial" w:eastAsia="Arial" w:hAnsi="Arial"/>
          <w:b w:val="1"/>
          <w:color w:val="333333"/>
          <w:sz w:val="24"/>
          <w:szCs w:val="24"/>
          <w:rtl w:val="0"/>
        </w:rPr>
        <w:t xml:space="preserve">Expense Forecast</w:t>
      </w:r>
    </w:p>
    <w:p w:rsidR="00000000" w:rsidDel="00000000" w:rsidP="00000000" w:rsidRDefault="00000000" w:rsidRPr="00000000" w14:paraId="0000001A">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Fixed Expenses</w:t>
      </w:r>
      <w:r w:rsidDel="00000000" w:rsidR="00000000" w:rsidRPr="00000000">
        <w:rPr>
          <w:rFonts w:ascii="Arial" w:cs="Arial" w:eastAsia="Arial" w:hAnsi="Arial"/>
          <w:color w:val="333333"/>
          <w:sz w:val="24"/>
          <w:szCs w:val="24"/>
          <w:rtl w:val="0"/>
        </w:rPr>
        <w:t xml:space="preserve">: Including rent, utilities, and salaries, estimated at $100,000 annually.</w:t>
      </w:r>
    </w:p>
    <w:p w:rsidR="00000000" w:rsidDel="00000000" w:rsidP="00000000" w:rsidRDefault="00000000" w:rsidRPr="00000000" w14:paraId="0000001B">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Variable Expenses</w:t>
      </w:r>
      <w:r w:rsidDel="00000000" w:rsidR="00000000" w:rsidRPr="00000000">
        <w:rPr>
          <w:rFonts w:ascii="Arial" w:cs="Arial" w:eastAsia="Arial" w:hAnsi="Arial"/>
          <w:color w:val="333333"/>
          <w:sz w:val="24"/>
          <w:szCs w:val="24"/>
          <w:rtl w:val="0"/>
        </w:rPr>
        <w:t xml:space="preserve">: Primarily food supplies and packaging, estimated at 40% of sales.</w:t>
      </w:r>
    </w:p>
    <w:p w:rsidR="00000000" w:rsidDel="00000000" w:rsidP="00000000" w:rsidRDefault="00000000" w:rsidRPr="00000000" w14:paraId="0000001C">
      <w:pPr>
        <w:pStyle w:val="Heading3"/>
        <w:spacing w:after="80" w:before="280" w:line="360" w:lineRule="auto"/>
        <w:rPr>
          <w:rFonts w:ascii="Arial" w:cs="Arial" w:eastAsia="Arial" w:hAnsi="Arial"/>
          <w:b w:val="1"/>
          <w:color w:val="333333"/>
          <w:sz w:val="24"/>
          <w:szCs w:val="24"/>
        </w:rPr>
      </w:pPr>
      <w:bookmarkStart w:colFirst="0" w:colLast="0" w:name="_8sm4amm8nz18" w:id="8"/>
      <w:bookmarkEnd w:id="8"/>
      <w:r w:rsidDel="00000000" w:rsidR="00000000" w:rsidRPr="00000000">
        <w:rPr>
          <w:rFonts w:ascii="Arial" w:cs="Arial" w:eastAsia="Arial" w:hAnsi="Arial"/>
          <w:b w:val="1"/>
          <w:color w:val="333333"/>
          <w:sz w:val="24"/>
          <w:szCs w:val="24"/>
          <w:rtl w:val="0"/>
        </w:rPr>
        <w:t xml:space="preserve">Profitability Analysis</w:t>
      </w:r>
    </w:p>
    <w:p w:rsidR="00000000" w:rsidDel="00000000" w:rsidP="00000000" w:rsidRDefault="00000000" w:rsidRPr="00000000" w14:paraId="0000001D">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Break-Even Point</w:t>
      </w:r>
      <w:r w:rsidDel="00000000" w:rsidR="00000000" w:rsidRPr="00000000">
        <w:rPr>
          <w:rFonts w:ascii="Arial" w:cs="Arial" w:eastAsia="Arial" w:hAnsi="Arial"/>
          <w:color w:val="333333"/>
          <w:sz w:val="24"/>
          <w:szCs w:val="24"/>
          <w:rtl w:val="0"/>
        </w:rPr>
        <w:t xml:space="preserve">: Expected within the first 18 to 24 months.</w:t>
      </w:r>
    </w:p>
    <w:p w:rsidR="00000000" w:rsidDel="00000000" w:rsidP="00000000" w:rsidRDefault="00000000" w:rsidRPr="00000000" w14:paraId="0000001E">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Net Profit Year 1</w:t>
      </w:r>
      <w:r w:rsidDel="00000000" w:rsidR="00000000" w:rsidRPr="00000000">
        <w:rPr>
          <w:rFonts w:ascii="Arial" w:cs="Arial" w:eastAsia="Arial" w:hAnsi="Arial"/>
          <w:color w:val="333333"/>
          <w:sz w:val="24"/>
          <w:szCs w:val="24"/>
          <w:rtl w:val="0"/>
        </w:rPr>
        <w:t xml:space="preserve">: After covering initial expenses, projected at 10% of sales.</w:t>
      </w:r>
    </w:p>
    <w:p w:rsidR="00000000" w:rsidDel="00000000" w:rsidP="00000000" w:rsidRDefault="00000000" w:rsidRPr="00000000" w14:paraId="0000001F">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Increasing Profits</w:t>
      </w:r>
      <w:r w:rsidDel="00000000" w:rsidR="00000000" w:rsidRPr="00000000">
        <w:rPr>
          <w:rFonts w:ascii="Arial" w:cs="Arial" w:eastAsia="Arial" w:hAnsi="Arial"/>
          <w:color w:val="333333"/>
          <w:sz w:val="24"/>
          <w:szCs w:val="24"/>
          <w:rtl w:val="0"/>
        </w:rPr>
        <w:t xml:space="preserve">: Expected to rise as the brand becomes established and operational efficiencies improve.</w:t>
      </w:r>
    </w:p>
    <w:p w:rsidR="00000000" w:rsidDel="00000000" w:rsidP="00000000" w:rsidRDefault="00000000" w:rsidRPr="00000000" w14:paraId="00000020">
      <w:pPr>
        <w:pStyle w:val="Heading3"/>
        <w:spacing w:after="80" w:before="280" w:line="360" w:lineRule="auto"/>
        <w:rPr>
          <w:rFonts w:ascii="Arial" w:cs="Arial" w:eastAsia="Arial" w:hAnsi="Arial"/>
          <w:b w:val="1"/>
          <w:color w:val="333333"/>
          <w:sz w:val="24"/>
          <w:szCs w:val="24"/>
        </w:rPr>
      </w:pPr>
      <w:bookmarkStart w:colFirst="0" w:colLast="0" w:name="_m1pujq7r8f11" w:id="9"/>
      <w:bookmarkEnd w:id="9"/>
      <w:r w:rsidDel="00000000" w:rsidR="00000000" w:rsidRPr="00000000">
        <w:rPr>
          <w:rFonts w:ascii="Arial" w:cs="Arial" w:eastAsia="Arial" w:hAnsi="Arial"/>
          <w:b w:val="1"/>
          <w:color w:val="333333"/>
          <w:sz w:val="24"/>
          <w:szCs w:val="24"/>
          <w:rtl w:val="0"/>
        </w:rPr>
        <w:t xml:space="preserve">Cash Flow Analysis</w:t>
      </w:r>
    </w:p>
    <w:p w:rsidR="00000000" w:rsidDel="00000000" w:rsidP="00000000" w:rsidRDefault="00000000" w:rsidRPr="00000000" w14:paraId="0000002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Cash flow projections indicate positive cash flow by the end of the first year, with significant improvements as revenue increases and initial investments pay off.</w:t>
      </w:r>
    </w:p>
    <w:p w:rsidR="00000000" w:rsidDel="00000000" w:rsidP="00000000" w:rsidRDefault="00000000" w:rsidRPr="00000000" w14:paraId="00000022">
      <w:pPr>
        <w:pStyle w:val="Heading3"/>
        <w:spacing w:after="80" w:before="280" w:line="360" w:lineRule="auto"/>
        <w:rPr>
          <w:rFonts w:ascii="Arial" w:cs="Arial" w:eastAsia="Arial" w:hAnsi="Arial"/>
          <w:b w:val="1"/>
          <w:color w:val="333333"/>
          <w:sz w:val="24"/>
          <w:szCs w:val="24"/>
        </w:rPr>
      </w:pPr>
      <w:bookmarkStart w:colFirst="0" w:colLast="0" w:name="_yl2vjeacc6tl" w:id="10"/>
      <w:bookmarkEnd w:id="10"/>
      <w:r w:rsidDel="00000000" w:rsidR="00000000" w:rsidRPr="00000000">
        <w:rPr>
          <w:rFonts w:ascii="Arial" w:cs="Arial" w:eastAsia="Arial" w:hAnsi="Arial"/>
          <w:b w:val="1"/>
          <w:color w:val="333333"/>
          <w:sz w:val="24"/>
          <w:szCs w:val="24"/>
          <w:rtl w:val="0"/>
        </w:rPr>
        <w:t xml:space="preserve">Sensitivity Analysis</w:t>
      </w:r>
    </w:p>
    <w:p w:rsidR="00000000" w:rsidDel="00000000" w:rsidP="00000000" w:rsidRDefault="00000000" w:rsidRPr="00000000" w14:paraId="00000023">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Best Case Scenario</w:t>
      </w:r>
      <w:r w:rsidDel="00000000" w:rsidR="00000000" w:rsidRPr="00000000">
        <w:rPr>
          <w:rFonts w:ascii="Arial" w:cs="Arial" w:eastAsia="Arial" w:hAnsi="Arial"/>
          <w:color w:val="333333"/>
          <w:sz w:val="24"/>
          <w:szCs w:val="24"/>
          <w:rtl w:val="0"/>
        </w:rPr>
        <w:t xml:space="preserve">: Increased demand allows for higher pricing and a quicker break-even point.</w:t>
      </w:r>
    </w:p>
    <w:p w:rsidR="00000000" w:rsidDel="00000000" w:rsidP="00000000" w:rsidRDefault="00000000" w:rsidRPr="00000000" w14:paraId="00000024">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Worst Case Scenario</w:t>
      </w:r>
      <w:r w:rsidDel="00000000" w:rsidR="00000000" w:rsidRPr="00000000">
        <w:rPr>
          <w:rFonts w:ascii="Arial" w:cs="Arial" w:eastAsia="Arial" w:hAnsi="Arial"/>
          <w:color w:val="333333"/>
          <w:sz w:val="24"/>
          <w:szCs w:val="24"/>
          <w:rtl w:val="0"/>
        </w:rPr>
        <w:t xml:space="preserve">: Slower customer acquisition and higher operational costs delay profitability.</w:t>
      </w:r>
    </w:p>
    <w:p w:rsidR="00000000" w:rsidDel="00000000" w:rsidP="00000000" w:rsidRDefault="00000000" w:rsidRPr="00000000" w14:paraId="00000025">
      <w:pPr>
        <w:pStyle w:val="Heading3"/>
        <w:spacing w:after="80" w:before="280" w:line="360" w:lineRule="auto"/>
        <w:rPr>
          <w:rFonts w:ascii="Arial" w:cs="Arial" w:eastAsia="Arial" w:hAnsi="Arial"/>
          <w:b w:val="1"/>
          <w:color w:val="333333"/>
          <w:sz w:val="24"/>
          <w:szCs w:val="24"/>
        </w:rPr>
      </w:pPr>
      <w:bookmarkStart w:colFirst="0" w:colLast="0" w:name="_9dih9iqh5o60" w:id="11"/>
      <w:bookmarkEnd w:id="11"/>
      <w:r w:rsidDel="00000000" w:rsidR="00000000" w:rsidRPr="00000000">
        <w:rPr>
          <w:rFonts w:ascii="Arial" w:cs="Arial" w:eastAsia="Arial" w:hAnsi="Arial"/>
          <w:b w:val="1"/>
          <w:color w:val="333333"/>
          <w:sz w:val="24"/>
          <w:szCs w:val="24"/>
          <w:rtl w:val="0"/>
        </w:rPr>
        <w:t xml:space="preserve">Risk Management</w:t>
      </w:r>
    </w:p>
    <w:p w:rsidR="00000000" w:rsidDel="00000000" w:rsidP="00000000" w:rsidRDefault="00000000" w:rsidRPr="00000000" w14:paraId="0000002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Key risks include market saturation, fluctuating food prices, and potential economic downturns. Strategies to mitigate these risks include flexible pricing, diversified supplier agreements, and an emergency fund.</w:t>
      </w:r>
    </w:p>
    <w:p w:rsidR="00000000" w:rsidDel="00000000" w:rsidP="00000000" w:rsidRDefault="00000000" w:rsidRPr="00000000" w14:paraId="00000027">
      <w:pPr>
        <w:pStyle w:val="Heading3"/>
        <w:spacing w:after="80" w:before="280" w:line="360" w:lineRule="auto"/>
        <w:rPr>
          <w:rFonts w:ascii="Arial" w:cs="Arial" w:eastAsia="Arial" w:hAnsi="Arial"/>
          <w:b w:val="1"/>
          <w:color w:val="333333"/>
          <w:sz w:val="24"/>
          <w:szCs w:val="24"/>
        </w:rPr>
      </w:pPr>
      <w:bookmarkStart w:colFirst="0" w:colLast="0" w:name="_petd0w6d48c6" w:id="12"/>
      <w:bookmarkEnd w:id="12"/>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28">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The financial feasibility of </w:t>
      </w:r>
      <w:r w:rsidDel="00000000" w:rsidR="00000000" w:rsidRPr="00000000">
        <w:rPr>
          <w:rFonts w:ascii="Arial" w:cs="Arial" w:eastAsia="Arial" w:hAnsi="Arial"/>
          <w:b w:val="1"/>
          <w:color w:val="333333"/>
          <w:sz w:val="24"/>
          <w:szCs w:val="24"/>
          <w:rtl w:val="0"/>
        </w:rPr>
        <w:t xml:space="preserve">QuickServe</w:t>
      </w:r>
      <w:r w:rsidDel="00000000" w:rsidR="00000000" w:rsidRPr="00000000">
        <w:rPr>
          <w:rFonts w:ascii="Arial" w:cs="Arial" w:eastAsia="Arial" w:hAnsi="Arial"/>
          <w:color w:val="333333"/>
          <w:sz w:val="24"/>
          <w:szCs w:val="24"/>
          <w:rtl w:val="0"/>
        </w:rPr>
        <w:t xml:space="preserve"> is promising, with solid revenue projections and a clear path to profitability. The concept aligns with current market trends towards healthier, fast dining options. However, careful management of startup costs, operational efficiency, and market positioning will be crucial to the venture's success. With a strong business model and strategic planning, </w:t>
      </w:r>
      <w:r w:rsidDel="00000000" w:rsidR="00000000" w:rsidRPr="00000000">
        <w:rPr>
          <w:rFonts w:ascii="Arial" w:cs="Arial" w:eastAsia="Arial" w:hAnsi="Arial"/>
          <w:b w:val="1"/>
          <w:color w:val="333333"/>
          <w:sz w:val="24"/>
          <w:szCs w:val="24"/>
          <w:rtl w:val="0"/>
        </w:rPr>
        <w:t xml:space="preserve">QuickServe</w:t>
      </w:r>
      <w:r w:rsidDel="00000000" w:rsidR="00000000" w:rsidRPr="00000000">
        <w:rPr>
          <w:rFonts w:ascii="Arial" w:cs="Arial" w:eastAsia="Arial" w:hAnsi="Arial"/>
          <w:color w:val="333333"/>
          <w:sz w:val="24"/>
          <w:szCs w:val="24"/>
          <w:rtl w:val="0"/>
        </w:rPr>
        <w:t xml:space="preserve"> is positioned to become a profitable addition to the fast-casual dining landscape.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