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Roboto" w:cs="Roboto" w:eastAsia="Roboto" w:hAnsi="Roboto"/>
          <w:color w:val="f75d5d"/>
          <w:sz w:val="60"/>
          <w:szCs w:val="60"/>
        </w:rPr>
      </w:pPr>
      <w:bookmarkStart w:colFirst="0" w:colLast="0" w:name="_hhevn0icya3z" w:id="0"/>
      <w:bookmarkEnd w:id="0"/>
      <w:r w:rsidDel="00000000" w:rsidR="00000000" w:rsidRPr="00000000">
        <w:rPr>
          <w:rFonts w:ascii="Roboto" w:cs="Roboto" w:eastAsia="Roboto" w:hAnsi="Roboto"/>
          <w:sz w:val="60"/>
          <w:szCs w:val="60"/>
          <w:rtl w:val="0"/>
        </w:rPr>
        <w:t xml:space="preserve">Feasibility Report For Project</w:t>
      </w:r>
      <w:r w:rsidDel="00000000" w:rsidR="00000000" w:rsidRPr="00000000">
        <w:rPr>
          <w:rtl w:val="0"/>
        </w:rPr>
      </w:r>
    </w:p>
    <w:p w:rsidR="00000000" w:rsidDel="00000000" w:rsidP="00000000" w:rsidRDefault="00000000" w:rsidRPr="00000000" w14:paraId="00000002">
      <w:pPr>
        <w:pStyle w:val="Heading3"/>
        <w:spacing w:after="80" w:before="280" w:line="360" w:lineRule="auto"/>
        <w:ind w:right="0"/>
        <w:rPr>
          <w:rFonts w:ascii="Arial" w:cs="Arial" w:eastAsia="Arial" w:hAnsi="Arial"/>
          <w:color w:val="333333"/>
          <w:sz w:val="10"/>
          <w:szCs w:val="10"/>
        </w:rPr>
      </w:pPr>
      <w:bookmarkStart w:colFirst="0" w:colLast="0" w:name="_dldn1jqzczw8" w:id="1"/>
      <w:bookmarkEnd w:id="1"/>
      <w:r w:rsidDel="00000000" w:rsidR="00000000" w:rsidRPr="00000000">
        <w:rPr>
          <w:rtl w:val="0"/>
        </w:rPr>
      </w:r>
    </w:p>
    <w:p w:rsidR="00000000" w:rsidDel="00000000" w:rsidP="00000000" w:rsidRDefault="00000000" w:rsidRPr="00000000" w14:paraId="00000003">
      <w:pPr>
        <w:pStyle w:val="Heading3"/>
        <w:spacing w:after="80" w:before="280" w:line="360" w:lineRule="auto"/>
        <w:ind w:right="0"/>
        <w:rPr>
          <w:rFonts w:ascii="Arial" w:cs="Arial" w:eastAsia="Arial" w:hAnsi="Arial"/>
          <w:color w:val="333333"/>
        </w:rPr>
      </w:pPr>
      <w:bookmarkStart w:colFirst="0" w:colLast="0" w:name="_9sg5re4ly2m8" w:id="2"/>
      <w:bookmarkEnd w:id="2"/>
      <w:r w:rsidDel="00000000" w:rsidR="00000000" w:rsidRPr="00000000">
        <w:rPr>
          <w:rFonts w:ascii="Arial" w:cs="Arial" w:eastAsia="Arial" w:hAnsi="Arial"/>
          <w:color w:val="333333"/>
          <w:rtl w:val="0"/>
        </w:rPr>
        <w:t xml:space="preserve">Feasibility Report for GreenTech Solar Farm Project</w:t>
      </w:r>
    </w:p>
    <w:p w:rsidR="00000000" w:rsidDel="00000000" w:rsidP="00000000" w:rsidRDefault="00000000" w:rsidRPr="00000000" w14:paraId="00000004">
      <w:pPr>
        <w:pStyle w:val="Heading3"/>
        <w:spacing w:after="80" w:before="280" w:line="360" w:lineRule="auto"/>
        <w:ind w:right="0"/>
        <w:rPr>
          <w:rFonts w:ascii="Arial" w:cs="Arial" w:eastAsia="Arial" w:hAnsi="Arial"/>
          <w:color w:val="333333"/>
        </w:rPr>
      </w:pPr>
      <w:bookmarkStart w:colFirst="0" w:colLast="0" w:name="_o0spf4map0p8" w:id="3"/>
      <w:bookmarkEnd w:id="3"/>
      <w:r w:rsidDel="00000000" w:rsidR="00000000" w:rsidRPr="00000000">
        <w:rPr>
          <w:rFonts w:ascii="Arial" w:cs="Arial" w:eastAsia="Arial" w:hAnsi="Arial"/>
          <w:color w:val="333333"/>
          <w:rtl w:val="0"/>
        </w:rPr>
        <w:t xml:space="preserve">Executive Summary</w:t>
      </w:r>
    </w:p>
    <w:p w:rsidR="00000000" w:rsidDel="00000000" w:rsidP="00000000" w:rsidRDefault="00000000" w:rsidRPr="00000000" w14:paraId="00000005">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This feasibility report evaluates the viability of the GreenTech Solar Farm Project, an initiative aimed at generating renewable energy through solar power. The project intends to establish a solar farm on a 100-acre plot in the Southwest region, where sunlight is abundant year-round. This report covers key aspects such as market demand, financial viability, technical requirements, and environmental impact.</w:t>
      </w:r>
    </w:p>
    <w:p w:rsidR="00000000" w:rsidDel="00000000" w:rsidP="00000000" w:rsidRDefault="00000000" w:rsidRPr="00000000" w14:paraId="00000006">
      <w:pPr>
        <w:pStyle w:val="Heading3"/>
        <w:spacing w:after="80" w:before="280" w:line="360" w:lineRule="auto"/>
        <w:ind w:right="0"/>
        <w:rPr>
          <w:rFonts w:ascii="Arial" w:cs="Arial" w:eastAsia="Arial" w:hAnsi="Arial"/>
          <w:color w:val="333333"/>
        </w:rPr>
      </w:pPr>
      <w:bookmarkStart w:colFirst="0" w:colLast="0" w:name="_8m9361s9uhfb" w:id="4"/>
      <w:bookmarkEnd w:id="4"/>
      <w:r w:rsidDel="00000000" w:rsidR="00000000" w:rsidRPr="00000000">
        <w:rPr>
          <w:rFonts w:ascii="Arial" w:cs="Arial" w:eastAsia="Arial" w:hAnsi="Arial"/>
          <w:color w:val="333333"/>
          <w:rtl w:val="0"/>
        </w:rPr>
        <w:t xml:space="preserve">Market Analysis</w:t>
      </w:r>
    </w:p>
    <w:p w:rsidR="00000000" w:rsidDel="00000000" w:rsidP="00000000" w:rsidRDefault="00000000" w:rsidRPr="00000000" w14:paraId="00000007">
      <w:pPr>
        <w:pStyle w:val="Heading4"/>
        <w:spacing w:after="40" w:before="240" w:line="360" w:lineRule="auto"/>
        <w:rPr>
          <w:rFonts w:ascii="Arial" w:cs="Arial" w:eastAsia="Arial" w:hAnsi="Arial"/>
          <w:color w:val="333333"/>
          <w:sz w:val="24"/>
          <w:szCs w:val="24"/>
        </w:rPr>
      </w:pPr>
      <w:bookmarkStart w:colFirst="0" w:colLast="0" w:name="_i2q5n1cvhkon" w:id="5"/>
      <w:bookmarkEnd w:id="5"/>
      <w:r w:rsidDel="00000000" w:rsidR="00000000" w:rsidRPr="00000000">
        <w:rPr>
          <w:rFonts w:ascii="Arial" w:cs="Arial" w:eastAsia="Arial" w:hAnsi="Arial"/>
          <w:color w:val="333333"/>
          <w:sz w:val="24"/>
          <w:szCs w:val="24"/>
          <w:rtl w:val="0"/>
        </w:rPr>
        <w:t xml:space="preserve">Target Market</w:t>
      </w:r>
    </w:p>
    <w:p w:rsidR="00000000" w:rsidDel="00000000" w:rsidP="00000000" w:rsidRDefault="00000000" w:rsidRPr="00000000" w14:paraId="00000008">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The primary market includes residential areas and businesses seeking to reduce their carbon footprint and energy costs. The region's increasing demand for renewable energy solutions presents a favorable market opportunity.</w:t>
      </w:r>
    </w:p>
    <w:p w:rsidR="00000000" w:rsidDel="00000000" w:rsidP="00000000" w:rsidRDefault="00000000" w:rsidRPr="00000000" w14:paraId="00000009">
      <w:pPr>
        <w:pStyle w:val="Heading4"/>
        <w:spacing w:after="40" w:before="240" w:line="360" w:lineRule="auto"/>
        <w:rPr>
          <w:rFonts w:ascii="Arial" w:cs="Arial" w:eastAsia="Arial" w:hAnsi="Arial"/>
          <w:color w:val="333333"/>
          <w:sz w:val="24"/>
          <w:szCs w:val="24"/>
        </w:rPr>
      </w:pPr>
      <w:bookmarkStart w:colFirst="0" w:colLast="0" w:name="_be13hyidcodl" w:id="6"/>
      <w:bookmarkEnd w:id="6"/>
      <w:r w:rsidDel="00000000" w:rsidR="00000000" w:rsidRPr="00000000">
        <w:rPr>
          <w:rFonts w:ascii="Arial" w:cs="Arial" w:eastAsia="Arial" w:hAnsi="Arial"/>
          <w:color w:val="333333"/>
          <w:sz w:val="24"/>
          <w:szCs w:val="24"/>
          <w:rtl w:val="0"/>
        </w:rPr>
        <w:t xml:space="preserve">Competition Analysis</w:t>
      </w:r>
    </w:p>
    <w:p w:rsidR="00000000" w:rsidDel="00000000" w:rsidP="00000000" w:rsidRDefault="00000000" w:rsidRPr="00000000" w14:paraId="0000000A">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Current competitors are mainly traditional energy providers and a few renewable energy farms. GreenTech's competitive edge lies in its advanced solar technology and commitment to sustainability, offering more efficient energy solutions at competitive rates.</w:t>
      </w:r>
    </w:p>
    <w:p w:rsidR="00000000" w:rsidDel="00000000" w:rsidP="00000000" w:rsidRDefault="00000000" w:rsidRPr="00000000" w14:paraId="0000000B">
      <w:pPr>
        <w:pStyle w:val="Heading3"/>
        <w:spacing w:after="80" w:before="280" w:line="360" w:lineRule="auto"/>
        <w:ind w:right="0"/>
        <w:rPr>
          <w:rFonts w:ascii="Arial" w:cs="Arial" w:eastAsia="Arial" w:hAnsi="Arial"/>
          <w:color w:val="333333"/>
        </w:rPr>
      </w:pPr>
      <w:bookmarkStart w:colFirst="0" w:colLast="0" w:name="_7vmw0k1144f1" w:id="7"/>
      <w:bookmarkEnd w:id="7"/>
      <w:r w:rsidDel="00000000" w:rsidR="00000000" w:rsidRPr="00000000">
        <w:rPr>
          <w:rFonts w:ascii="Arial" w:cs="Arial" w:eastAsia="Arial" w:hAnsi="Arial"/>
          <w:color w:val="333333"/>
          <w:rtl w:val="0"/>
        </w:rPr>
        <w:t xml:space="preserve">Technical Analysis</w:t>
      </w:r>
    </w:p>
    <w:p w:rsidR="00000000" w:rsidDel="00000000" w:rsidP="00000000" w:rsidRDefault="00000000" w:rsidRPr="00000000" w14:paraId="0000000C">
      <w:pPr>
        <w:pStyle w:val="Heading4"/>
        <w:spacing w:after="40" w:before="240" w:line="360" w:lineRule="auto"/>
        <w:rPr>
          <w:rFonts w:ascii="Arial" w:cs="Arial" w:eastAsia="Arial" w:hAnsi="Arial"/>
          <w:color w:val="333333"/>
          <w:sz w:val="24"/>
          <w:szCs w:val="24"/>
        </w:rPr>
      </w:pPr>
      <w:bookmarkStart w:colFirst="0" w:colLast="0" w:name="_uab8gv7izv2k" w:id="8"/>
      <w:bookmarkEnd w:id="8"/>
      <w:r w:rsidDel="00000000" w:rsidR="00000000" w:rsidRPr="00000000">
        <w:rPr>
          <w:rFonts w:ascii="Arial" w:cs="Arial" w:eastAsia="Arial" w:hAnsi="Arial"/>
          <w:color w:val="333333"/>
          <w:sz w:val="24"/>
          <w:szCs w:val="24"/>
          <w:rtl w:val="0"/>
        </w:rPr>
        <w:t xml:space="preserve">Site Selection</w:t>
      </w:r>
    </w:p>
    <w:p w:rsidR="00000000" w:rsidDel="00000000" w:rsidP="00000000" w:rsidRDefault="00000000" w:rsidRPr="00000000" w14:paraId="0000000D">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The chosen location offers optimal sunlight exposure, minimal land use conflicts, and accessibility for maintenance and energy distribution.</w:t>
      </w:r>
    </w:p>
    <w:p w:rsidR="00000000" w:rsidDel="00000000" w:rsidP="00000000" w:rsidRDefault="00000000" w:rsidRPr="00000000" w14:paraId="0000000E">
      <w:pPr>
        <w:pStyle w:val="Heading4"/>
        <w:spacing w:after="40" w:before="240" w:line="360" w:lineRule="auto"/>
        <w:rPr>
          <w:rFonts w:ascii="Arial" w:cs="Arial" w:eastAsia="Arial" w:hAnsi="Arial"/>
          <w:color w:val="333333"/>
          <w:sz w:val="24"/>
          <w:szCs w:val="24"/>
        </w:rPr>
      </w:pPr>
      <w:bookmarkStart w:colFirst="0" w:colLast="0" w:name="_8ax2ulst0roq" w:id="9"/>
      <w:bookmarkEnd w:id="9"/>
      <w:r w:rsidDel="00000000" w:rsidR="00000000" w:rsidRPr="00000000">
        <w:rPr>
          <w:rFonts w:ascii="Arial" w:cs="Arial" w:eastAsia="Arial" w:hAnsi="Arial"/>
          <w:color w:val="333333"/>
          <w:sz w:val="24"/>
          <w:szCs w:val="24"/>
          <w:rtl w:val="0"/>
        </w:rPr>
        <w:t xml:space="preserve">Technology</w:t>
      </w:r>
    </w:p>
    <w:p w:rsidR="00000000" w:rsidDel="00000000" w:rsidP="00000000" w:rsidRDefault="00000000" w:rsidRPr="00000000" w14:paraId="0000000F">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The project will utilize high-efficiency photovoltaic (PV) panels, capable of generating 50 MW of power annually. The technology selected ensures maximum energy conversion and durability in harsh weather conditions.</w:t>
      </w:r>
    </w:p>
    <w:p w:rsidR="00000000" w:rsidDel="00000000" w:rsidP="00000000" w:rsidRDefault="00000000" w:rsidRPr="00000000" w14:paraId="00000010">
      <w:pPr>
        <w:pStyle w:val="Heading4"/>
        <w:spacing w:after="40" w:before="240" w:line="360" w:lineRule="auto"/>
        <w:rPr>
          <w:rFonts w:ascii="Arial" w:cs="Arial" w:eastAsia="Arial" w:hAnsi="Arial"/>
          <w:color w:val="333333"/>
          <w:sz w:val="24"/>
          <w:szCs w:val="24"/>
        </w:rPr>
      </w:pPr>
      <w:bookmarkStart w:colFirst="0" w:colLast="0" w:name="_9puw947b64wk" w:id="10"/>
      <w:bookmarkEnd w:id="10"/>
      <w:r w:rsidDel="00000000" w:rsidR="00000000" w:rsidRPr="00000000">
        <w:rPr>
          <w:rFonts w:ascii="Arial" w:cs="Arial" w:eastAsia="Arial" w:hAnsi="Arial"/>
          <w:color w:val="333333"/>
          <w:sz w:val="24"/>
          <w:szCs w:val="24"/>
          <w:rtl w:val="0"/>
        </w:rPr>
        <w:t xml:space="preserve">Infrastructure Requirements</w:t>
      </w:r>
    </w:p>
    <w:p w:rsidR="00000000" w:rsidDel="00000000" w:rsidP="00000000" w:rsidRDefault="00000000" w:rsidRPr="00000000" w14:paraId="00000011">
      <w:pPr>
        <w:numPr>
          <w:ilvl w:val="0"/>
          <w:numId w:val="2"/>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PV Panels Installation</w:t>
      </w:r>
      <w:r w:rsidDel="00000000" w:rsidR="00000000" w:rsidRPr="00000000">
        <w:rPr>
          <w:rFonts w:ascii="Arial" w:cs="Arial" w:eastAsia="Arial" w:hAnsi="Arial"/>
          <w:color w:val="333333"/>
          <w:sz w:val="24"/>
          <w:szCs w:val="24"/>
          <w:rtl w:val="0"/>
        </w:rPr>
        <w:t xml:space="preserve">: Covering 80 acres.</w:t>
      </w:r>
    </w:p>
    <w:p w:rsidR="00000000" w:rsidDel="00000000" w:rsidP="00000000" w:rsidRDefault="00000000" w:rsidRPr="00000000" w14:paraId="00000012">
      <w:pPr>
        <w:numPr>
          <w:ilvl w:val="0"/>
          <w:numId w:val="2"/>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Energy Storage Systems</w:t>
      </w:r>
      <w:r w:rsidDel="00000000" w:rsidR="00000000" w:rsidRPr="00000000">
        <w:rPr>
          <w:rFonts w:ascii="Arial" w:cs="Arial" w:eastAsia="Arial" w:hAnsi="Arial"/>
          <w:color w:val="333333"/>
          <w:sz w:val="24"/>
          <w:szCs w:val="24"/>
          <w:rtl w:val="0"/>
        </w:rPr>
        <w:t xml:space="preserve">: For energy storage and supply during low sunlight.</w:t>
      </w:r>
    </w:p>
    <w:p w:rsidR="00000000" w:rsidDel="00000000" w:rsidP="00000000" w:rsidRDefault="00000000" w:rsidRPr="00000000" w14:paraId="00000013">
      <w:pPr>
        <w:numPr>
          <w:ilvl w:val="0"/>
          <w:numId w:val="2"/>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Transmission Infrastructure</w:t>
      </w:r>
      <w:r w:rsidDel="00000000" w:rsidR="00000000" w:rsidRPr="00000000">
        <w:rPr>
          <w:rFonts w:ascii="Arial" w:cs="Arial" w:eastAsia="Arial" w:hAnsi="Arial"/>
          <w:color w:val="333333"/>
          <w:sz w:val="24"/>
          <w:szCs w:val="24"/>
          <w:rtl w:val="0"/>
        </w:rPr>
        <w:t xml:space="preserve">: Connecting the solar farm to the local grid.</w:t>
      </w:r>
    </w:p>
    <w:p w:rsidR="00000000" w:rsidDel="00000000" w:rsidP="00000000" w:rsidRDefault="00000000" w:rsidRPr="00000000" w14:paraId="00000014">
      <w:pPr>
        <w:pStyle w:val="Heading3"/>
        <w:spacing w:after="80" w:before="280" w:line="360" w:lineRule="auto"/>
        <w:ind w:right="0"/>
        <w:rPr>
          <w:rFonts w:ascii="Arial" w:cs="Arial" w:eastAsia="Arial" w:hAnsi="Arial"/>
          <w:color w:val="333333"/>
        </w:rPr>
      </w:pPr>
      <w:bookmarkStart w:colFirst="0" w:colLast="0" w:name="_u6zicy13h21j" w:id="11"/>
      <w:bookmarkEnd w:id="11"/>
      <w:r w:rsidDel="00000000" w:rsidR="00000000" w:rsidRPr="00000000">
        <w:rPr>
          <w:rFonts w:ascii="Arial" w:cs="Arial" w:eastAsia="Arial" w:hAnsi="Arial"/>
          <w:color w:val="333333"/>
          <w:rtl w:val="0"/>
        </w:rPr>
        <w:t xml:space="preserve">Financial Analysis</w:t>
      </w:r>
    </w:p>
    <w:p w:rsidR="00000000" w:rsidDel="00000000" w:rsidP="00000000" w:rsidRDefault="00000000" w:rsidRPr="00000000" w14:paraId="00000015">
      <w:pPr>
        <w:pStyle w:val="Heading4"/>
        <w:spacing w:after="40" w:before="240" w:line="360" w:lineRule="auto"/>
        <w:rPr>
          <w:rFonts w:ascii="Arial" w:cs="Arial" w:eastAsia="Arial" w:hAnsi="Arial"/>
          <w:color w:val="333333"/>
          <w:sz w:val="24"/>
          <w:szCs w:val="24"/>
        </w:rPr>
      </w:pPr>
      <w:bookmarkStart w:colFirst="0" w:colLast="0" w:name="_rhgxnmdvuiq0" w:id="12"/>
      <w:bookmarkEnd w:id="12"/>
      <w:r w:rsidDel="00000000" w:rsidR="00000000" w:rsidRPr="00000000">
        <w:rPr>
          <w:rFonts w:ascii="Arial" w:cs="Arial" w:eastAsia="Arial" w:hAnsi="Arial"/>
          <w:color w:val="333333"/>
          <w:sz w:val="24"/>
          <w:szCs w:val="24"/>
          <w:rtl w:val="0"/>
        </w:rPr>
        <w:t xml:space="preserve">Startup Costs</w:t>
      </w:r>
    </w:p>
    <w:p w:rsidR="00000000" w:rsidDel="00000000" w:rsidP="00000000" w:rsidRDefault="00000000" w:rsidRPr="00000000" w14:paraId="00000016">
      <w:pPr>
        <w:numPr>
          <w:ilvl w:val="0"/>
          <w:numId w:val="1"/>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Land Acquisition</w:t>
      </w:r>
      <w:r w:rsidDel="00000000" w:rsidR="00000000" w:rsidRPr="00000000">
        <w:rPr>
          <w:rFonts w:ascii="Arial" w:cs="Arial" w:eastAsia="Arial" w:hAnsi="Arial"/>
          <w:color w:val="333333"/>
          <w:sz w:val="24"/>
          <w:szCs w:val="24"/>
          <w:rtl w:val="0"/>
        </w:rPr>
        <w:t xml:space="preserve">: $2,000,000</w:t>
      </w:r>
    </w:p>
    <w:p w:rsidR="00000000" w:rsidDel="00000000" w:rsidP="00000000" w:rsidRDefault="00000000" w:rsidRPr="00000000" w14:paraId="00000017">
      <w:pPr>
        <w:numPr>
          <w:ilvl w:val="0"/>
          <w:numId w:val="1"/>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PV Panels and Installation</w:t>
      </w:r>
      <w:r w:rsidDel="00000000" w:rsidR="00000000" w:rsidRPr="00000000">
        <w:rPr>
          <w:rFonts w:ascii="Arial" w:cs="Arial" w:eastAsia="Arial" w:hAnsi="Arial"/>
          <w:color w:val="333333"/>
          <w:sz w:val="24"/>
          <w:szCs w:val="24"/>
          <w:rtl w:val="0"/>
        </w:rPr>
        <w:t xml:space="preserve">: $25,000,000</w:t>
      </w:r>
    </w:p>
    <w:p w:rsidR="00000000" w:rsidDel="00000000" w:rsidP="00000000" w:rsidRDefault="00000000" w:rsidRPr="00000000" w14:paraId="00000018">
      <w:pPr>
        <w:numPr>
          <w:ilvl w:val="0"/>
          <w:numId w:val="1"/>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Energy Storage Systems</w:t>
      </w:r>
      <w:r w:rsidDel="00000000" w:rsidR="00000000" w:rsidRPr="00000000">
        <w:rPr>
          <w:rFonts w:ascii="Arial" w:cs="Arial" w:eastAsia="Arial" w:hAnsi="Arial"/>
          <w:color w:val="333333"/>
          <w:sz w:val="24"/>
          <w:szCs w:val="24"/>
          <w:rtl w:val="0"/>
        </w:rPr>
        <w:t xml:space="preserve">: $5,000,000</w:t>
      </w:r>
    </w:p>
    <w:p w:rsidR="00000000" w:rsidDel="00000000" w:rsidP="00000000" w:rsidRDefault="00000000" w:rsidRPr="00000000" w14:paraId="00000019">
      <w:pPr>
        <w:numPr>
          <w:ilvl w:val="0"/>
          <w:numId w:val="1"/>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Infrastructure and Miscellaneous</w:t>
      </w:r>
      <w:r w:rsidDel="00000000" w:rsidR="00000000" w:rsidRPr="00000000">
        <w:rPr>
          <w:rFonts w:ascii="Arial" w:cs="Arial" w:eastAsia="Arial" w:hAnsi="Arial"/>
          <w:color w:val="333333"/>
          <w:sz w:val="24"/>
          <w:szCs w:val="24"/>
          <w:rtl w:val="0"/>
        </w:rPr>
        <w:t xml:space="preserve">: $3,000,000</w:t>
      </w:r>
    </w:p>
    <w:p w:rsidR="00000000" w:rsidDel="00000000" w:rsidP="00000000" w:rsidRDefault="00000000" w:rsidRPr="00000000" w14:paraId="0000001A">
      <w:pPr>
        <w:numPr>
          <w:ilvl w:val="0"/>
          <w:numId w:val="1"/>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Total Startup Costs</w:t>
      </w:r>
      <w:r w:rsidDel="00000000" w:rsidR="00000000" w:rsidRPr="00000000">
        <w:rPr>
          <w:rFonts w:ascii="Arial" w:cs="Arial" w:eastAsia="Arial" w:hAnsi="Arial"/>
          <w:color w:val="333333"/>
          <w:sz w:val="24"/>
          <w:szCs w:val="24"/>
          <w:rtl w:val="0"/>
        </w:rPr>
        <w:t xml:space="preserve">: $35,000,000</w:t>
      </w:r>
    </w:p>
    <w:p w:rsidR="00000000" w:rsidDel="00000000" w:rsidP="00000000" w:rsidRDefault="00000000" w:rsidRPr="00000000" w14:paraId="0000001B">
      <w:pPr>
        <w:pStyle w:val="Heading4"/>
        <w:spacing w:after="40" w:before="240" w:line="360" w:lineRule="auto"/>
        <w:rPr>
          <w:rFonts w:ascii="Arial" w:cs="Arial" w:eastAsia="Arial" w:hAnsi="Arial"/>
          <w:color w:val="333333"/>
          <w:sz w:val="24"/>
          <w:szCs w:val="24"/>
        </w:rPr>
      </w:pPr>
      <w:bookmarkStart w:colFirst="0" w:colLast="0" w:name="_vjc7glxhe3re" w:id="13"/>
      <w:bookmarkEnd w:id="13"/>
      <w:r w:rsidDel="00000000" w:rsidR="00000000" w:rsidRPr="00000000">
        <w:rPr>
          <w:rFonts w:ascii="Arial" w:cs="Arial" w:eastAsia="Arial" w:hAnsi="Arial"/>
          <w:color w:val="333333"/>
          <w:sz w:val="24"/>
          <w:szCs w:val="24"/>
          <w:rtl w:val="0"/>
        </w:rPr>
        <w:t xml:space="preserve">Revenue Projections</w:t>
      </w:r>
    </w:p>
    <w:p w:rsidR="00000000" w:rsidDel="00000000" w:rsidP="00000000" w:rsidRDefault="00000000" w:rsidRPr="00000000" w14:paraId="0000001C">
      <w:pPr>
        <w:numPr>
          <w:ilvl w:val="0"/>
          <w:numId w:val="4"/>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Year 1</w:t>
      </w:r>
      <w:r w:rsidDel="00000000" w:rsidR="00000000" w:rsidRPr="00000000">
        <w:rPr>
          <w:rFonts w:ascii="Arial" w:cs="Arial" w:eastAsia="Arial" w:hAnsi="Arial"/>
          <w:color w:val="333333"/>
          <w:sz w:val="24"/>
          <w:szCs w:val="24"/>
          <w:rtl w:val="0"/>
        </w:rPr>
        <w:t xml:space="preserve">: $4,000,000, scaling up as more sectors get onboarded.</w:t>
      </w:r>
    </w:p>
    <w:p w:rsidR="00000000" w:rsidDel="00000000" w:rsidP="00000000" w:rsidRDefault="00000000" w:rsidRPr="00000000" w14:paraId="0000001D">
      <w:pPr>
        <w:numPr>
          <w:ilvl w:val="0"/>
          <w:numId w:val="4"/>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Year 5</w:t>
      </w:r>
      <w:r w:rsidDel="00000000" w:rsidR="00000000" w:rsidRPr="00000000">
        <w:rPr>
          <w:rFonts w:ascii="Arial" w:cs="Arial" w:eastAsia="Arial" w:hAnsi="Arial"/>
          <w:color w:val="333333"/>
          <w:sz w:val="24"/>
          <w:szCs w:val="24"/>
          <w:rtl w:val="0"/>
        </w:rPr>
        <w:t xml:space="preserve">: $20,000,000, with increased capacity and higher market penetration.</w:t>
      </w:r>
    </w:p>
    <w:p w:rsidR="00000000" w:rsidDel="00000000" w:rsidP="00000000" w:rsidRDefault="00000000" w:rsidRPr="00000000" w14:paraId="0000001E">
      <w:pPr>
        <w:pStyle w:val="Heading4"/>
        <w:spacing w:after="40" w:before="240" w:line="360" w:lineRule="auto"/>
        <w:rPr>
          <w:rFonts w:ascii="Arial" w:cs="Arial" w:eastAsia="Arial" w:hAnsi="Arial"/>
          <w:color w:val="333333"/>
          <w:sz w:val="24"/>
          <w:szCs w:val="24"/>
        </w:rPr>
      </w:pPr>
      <w:bookmarkStart w:colFirst="0" w:colLast="0" w:name="_a4ty41rmqf54" w:id="14"/>
      <w:bookmarkEnd w:id="14"/>
      <w:r w:rsidDel="00000000" w:rsidR="00000000" w:rsidRPr="00000000">
        <w:rPr>
          <w:rFonts w:ascii="Arial" w:cs="Arial" w:eastAsia="Arial" w:hAnsi="Arial"/>
          <w:color w:val="333333"/>
          <w:sz w:val="24"/>
          <w:szCs w:val="24"/>
          <w:rtl w:val="0"/>
        </w:rPr>
        <w:t xml:space="preserve">Break-Even Analysis</w:t>
      </w:r>
    </w:p>
    <w:p w:rsidR="00000000" w:rsidDel="00000000" w:rsidP="00000000" w:rsidRDefault="00000000" w:rsidRPr="00000000" w14:paraId="0000001F">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The project is expected to reach its break-even point within 7 years, considering initial investments, operational costs, and projected revenue.</w:t>
      </w:r>
    </w:p>
    <w:p w:rsidR="00000000" w:rsidDel="00000000" w:rsidP="00000000" w:rsidRDefault="00000000" w:rsidRPr="00000000" w14:paraId="00000020">
      <w:pPr>
        <w:pStyle w:val="Heading3"/>
        <w:spacing w:after="80" w:before="280" w:line="360" w:lineRule="auto"/>
        <w:ind w:right="0"/>
        <w:rPr>
          <w:rFonts w:ascii="Arial" w:cs="Arial" w:eastAsia="Arial" w:hAnsi="Arial"/>
          <w:color w:val="333333"/>
        </w:rPr>
      </w:pPr>
      <w:bookmarkStart w:colFirst="0" w:colLast="0" w:name="_kwwrc2qxcxgg" w:id="15"/>
      <w:bookmarkEnd w:id="15"/>
      <w:r w:rsidDel="00000000" w:rsidR="00000000" w:rsidRPr="00000000">
        <w:rPr>
          <w:rFonts w:ascii="Arial" w:cs="Arial" w:eastAsia="Arial" w:hAnsi="Arial"/>
          <w:color w:val="333333"/>
          <w:rtl w:val="0"/>
        </w:rPr>
        <w:t xml:space="preserve">Environmental Impact Assessment</w:t>
      </w:r>
    </w:p>
    <w:p w:rsidR="00000000" w:rsidDel="00000000" w:rsidP="00000000" w:rsidRDefault="00000000" w:rsidRPr="00000000" w14:paraId="00000021">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The project promotes environmental sustainability by reducing greenhouse gas emissions and reliance on fossil fuels. A comprehensive assessment confirms minimal adverse effects on local wildlife and ecosystems.</w:t>
      </w:r>
    </w:p>
    <w:p w:rsidR="00000000" w:rsidDel="00000000" w:rsidP="00000000" w:rsidRDefault="00000000" w:rsidRPr="00000000" w14:paraId="00000022">
      <w:pPr>
        <w:pStyle w:val="Heading3"/>
        <w:spacing w:after="80" w:before="280" w:line="360" w:lineRule="auto"/>
        <w:ind w:right="0"/>
        <w:rPr>
          <w:rFonts w:ascii="Arial" w:cs="Arial" w:eastAsia="Arial" w:hAnsi="Arial"/>
          <w:color w:val="333333"/>
        </w:rPr>
      </w:pPr>
      <w:bookmarkStart w:colFirst="0" w:colLast="0" w:name="_hg5hsjo3i6lj" w:id="16"/>
      <w:bookmarkEnd w:id="16"/>
      <w:r w:rsidDel="00000000" w:rsidR="00000000" w:rsidRPr="00000000">
        <w:rPr>
          <w:rFonts w:ascii="Arial" w:cs="Arial" w:eastAsia="Arial" w:hAnsi="Arial"/>
          <w:color w:val="333333"/>
          <w:rtl w:val="0"/>
        </w:rPr>
        <w:t xml:space="preserve">Risk Analysis</w:t>
      </w:r>
    </w:p>
    <w:p w:rsidR="00000000" w:rsidDel="00000000" w:rsidP="00000000" w:rsidRDefault="00000000" w:rsidRPr="00000000" w14:paraId="00000023">
      <w:pPr>
        <w:numPr>
          <w:ilvl w:val="0"/>
          <w:numId w:val="3"/>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Regulatory Risks</w:t>
      </w:r>
      <w:r w:rsidDel="00000000" w:rsidR="00000000" w:rsidRPr="00000000">
        <w:rPr>
          <w:rFonts w:ascii="Arial" w:cs="Arial" w:eastAsia="Arial" w:hAnsi="Arial"/>
          <w:color w:val="333333"/>
          <w:sz w:val="24"/>
          <w:szCs w:val="24"/>
          <w:rtl w:val="0"/>
        </w:rPr>
        <w:t xml:space="preserve">: Changes in renewable energy policies could affect profitability.</w:t>
      </w:r>
    </w:p>
    <w:p w:rsidR="00000000" w:rsidDel="00000000" w:rsidP="00000000" w:rsidRDefault="00000000" w:rsidRPr="00000000" w14:paraId="00000024">
      <w:pPr>
        <w:numPr>
          <w:ilvl w:val="0"/>
          <w:numId w:val="3"/>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Technical Risks</w:t>
      </w:r>
      <w:r w:rsidDel="00000000" w:rsidR="00000000" w:rsidRPr="00000000">
        <w:rPr>
          <w:rFonts w:ascii="Arial" w:cs="Arial" w:eastAsia="Arial" w:hAnsi="Arial"/>
          <w:color w:val="333333"/>
          <w:sz w:val="24"/>
          <w:szCs w:val="24"/>
          <w:rtl w:val="0"/>
        </w:rPr>
        <w:t xml:space="preserve">: Potential delays in technology delivery and setup.</w:t>
      </w:r>
    </w:p>
    <w:p w:rsidR="00000000" w:rsidDel="00000000" w:rsidP="00000000" w:rsidRDefault="00000000" w:rsidRPr="00000000" w14:paraId="00000025">
      <w:pPr>
        <w:numPr>
          <w:ilvl w:val="0"/>
          <w:numId w:val="3"/>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Market Risks</w:t>
      </w:r>
      <w:r w:rsidDel="00000000" w:rsidR="00000000" w:rsidRPr="00000000">
        <w:rPr>
          <w:rFonts w:ascii="Arial" w:cs="Arial" w:eastAsia="Arial" w:hAnsi="Arial"/>
          <w:color w:val="333333"/>
          <w:sz w:val="24"/>
          <w:szCs w:val="24"/>
          <w:rtl w:val="0"/>
        </w:rPr>
        <w:t xml:space="preserve">: Fluctuations in energy market prices may impact revenue.</w:t>
      </w:r>
    </w:p>
    <w:p w:rsidR="00000000" w:rsidDel="00000000" w:rsidP="00000000" w:rsidRDefault="00000000" w:rsidRPr="00000000" w14:paraId="00000026">
      <w:pPr>
        <w:pStyle w:val="Heading3"/>
        <w:spacing w:after="80" w:before="280" w:line="360" w:lineRule="auto"/>
        <w:ind w:right="0"/>
        <w:rPr>
          <w:rFonts w:ascii="Arial" w:cs="Arial" w:eastAsia="Arial" w:hAnsi="Arial"/>
          <w:color w:val="333333"/>
        </w:rPr>
      </w:pPr>
      <w:bookmarkStart w:colFirst="0" w:colLast="0" w:name="_ofbgekpamyv0" w:id="17"/>
      <w:bookmarkEnd w:id="17"/>
      <w:r w:rsidDel="00000000" w:rsidR="00000000" w:rsidRPr="00000000">
        <w:rPr>
          <w:rFonts w:ascii="Arial" w:cs="Arial" w:eastAsia="Arial" w:hAnsi="Arial"/>
          <w:color w:val="333333"/>
          <w:rtl w:val="0"/>
        </w:rPr>
        <w:t xml:space="preserve">Conclusion and Recommendations</w:t>
      </w:r>
    </w:p>
    <w:p w:rsidR="00000000" w:rsidDel="00000000" w:rsidP="00000000" w:rsidRDefault="00000000" w:rsidRPr="00000000" w14:paraId="00000027">
      <w:pPr>
        <w:spacing w:after="240" w:before="240" w:line="360" w:lineRule="auto"/>
        <w:rPr>
          <w:rFonts w:ascii="Arial" w:cs="Arial" w:eastAsia="Arial" w:hAnsi="Arial"/>
          <w:sz w:val="24"/>
          <w:szCs w:val="24"/>
        </w:rPr>
      </w:pPr>
      <w:r w:rsidDel="00000000" w:rsidR="00000000" w:rsidRPr="00000000">
        <w:rPr>
          <w:rFonts w:ascii="Arial" w:cs="Arial" w:eastAsia="Arial" w:hAnsi="Arial"/>
          <w:color w:val="333333"/>
          <w:sz w:val="24"/>
          <w:szCs w:val="24"/>
          <w:rtl w:val="0"/>
        </w:rPr>
        <w:t xml:space="preserve">The GreenTech Solar Farm Project is deemed feasible with significant potential for success. It aligns with global trends towards renewable energy, offering environmental and economic benefits. However, meticulous planning and risk management are crucial to navigate potential challenges. It is recommended to proceed with further detailed planning phases, securing funding, and engaging with stakeholders to ensure the project's successful implementation.</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29">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8"/>
          <w:bookmarkEnd w:id="18"/>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2B">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19"/>
          <w:bookmarkEnd w:id="19"/>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Lato-italic.ttf"/><Relationship Id="rId10" Type="http://schemas.openxmlformats.org/officeDocument/2006/relationships/font" Target="fonts/Lato-bold.ttf"/><Relationship Id="rId12" Type="http://schemas.openxmlformats.org/officeDocument/2006/relationships/font" Target="fonts/Lato-boldItalic.ttf"/><Relationship Id="rId9" Type="http://schemas.openxmlformats.org/officeDocument/2006/relationships/font" Target="fonts/Lato-regular.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