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rPr>
      </w:pPr>
      <w:bookmarkStart w:colFirst="0" w:colLast="0" w:name="_hhevn0icya3z" w:id="0"/>
      <w:bookmarkEnd w:id="0"/>
      <w:r w:rsidDel="00000000" w:rsidR="00000000" w:rsidRPr="00000000">
        <w:rPr>
          <w:rFonts w:ascii="Roboto" w:cs="Roboto" w:eastAsia="Roboto" w:hAnsi="Roboto"/>
          <w:sz w:val="60"/>
          <w:szCs w:val="60"/>
          <w:u w:val="single"/>
          <w:rtl w:val="0"/>
        </w:rPr>
        <w:t xml:space="preserve">Research Statement In Nursing</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Improving Patient Outcomes through Enhanced Nursing Practices: A Focus on Evidence-Based Care</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r>
      <w:r w:rsidDel="00000000" w:rsidR="00000000" w:rsidRPr="00000000">
        <w:rPr>
          <w:rFonts w:ascii="Arial" w:cs="Arial" w:eastAsia="Arial" w:hAnsi="Arial"/>
          <w:color w:val="000000"/>
          <w:sz w:val="24"/>
          <w:szCs w:val="24"/>
          <w:rtl w:val="0"/>
        </w:rPr>
        <w:t xml:space="preserve"> The evolving landscape of healthcare demands a continuous enhancement of nursing practices to improve patient outcomes. The primary objective of my research is to investigate the impact of evidence-based nursing interventions on patient recovery, satisfaction, and overall healthcare quality. This research will bridge the gap between theoretical knowledge and practical application, aiming to provide a robust framework for nursing professionals to adopt evidence-based practices in their daily routines.</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Research Questions:</w:t>
      </w:r>
    </w:p>
    <w:p w:rsidR="00000000" w:rsidDel="00000000" w:rsidP="00000000" w:rsidRDefault="00000000" w:rsidRPr="00000000" w14:paraId="00000006">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the correlation between evidence-based nursing practices and patient recovery rates in acute care settings?</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specific evidence-based interventions influence patient satisfaction and perceptions of care quality?</w:t>
      </w:r>
    </w:p>
    <w:p w:rsidR="00000000" w:rsidDel="00000000" w:rsidP="00000000" w:rsidRDefault="00000000" w:rsidRPr="00000000" w14:paraId="00000008">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are the barriers to implementing evidence-based practices among nursing staff, and how can they be effectively addressed?</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Objectives:</w:t>
      </w:r>
    </w:p>
    <w:p w:rsidR="00000000" w:rsidDel="00000000" w:rsidP="00000000" w:rsidRDefault="00000000" w:rsidRPr="00000000" w14:paraId="0000000A">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assess the effectiveness of evidence-based nursing interventions on patient recovery times and outcomes.</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evaluate patient satisfaction levels before and after the implementation of evidence-based nursing practices.</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identify the challenges faced by nursing staff in adopting evidence-based practices and propose strategies for overcoming these obstacles.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Methodology:</w:t>
      </w:r>
      <w:r w:rsidDel="00000000" w:rsidR="00000000" w:rsidRPr="00000000">
        <w:rPr>
          <w:rFonts w:ascii="Arial" w:cs="Arial" w:eastAsia="Arial" w:hAnsi="Arial"/>
          <w:color w:val="000000"/>
          <w:sz w:val="24"/>
          <w:szCs w:val="24"/>
          <w:rtl w:val="0"/>
        </w:rPr>
        <w:t xml:space="preserve"> This research will employ a mixed-methods approach, combining quantitative and qualitative data collection techniques. Quantitative data will be gathered through patient records, surveys, and statistical analysis of recovery times and satisfaction scores. Qualitative data will be obtained via interviews and focus groups with nursing staff and patients to gain deeper insights into their experiences and perceptions.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Significance:</w:t>
      </w:r>
      <w:r w:rsidDel="00000000" w:rsidR="00000000" w:rsidRPr="00000000">
        <w:rPr>
          <w:rFonts w:ascii="Arial" w:cs="Arial" w:eastAsia="Arial" w:hAnsi="Arial"/>
          <w:color w:val="000000"/>
          <w:sz w:val="24"/>
          <w:szCs w:val="24"/>
          <w:rtl w:val="0"/>
        </w:rPr>
        <w:t xml:space="preserve"> The findings of this research will contribute significantly to the field of nursing by providing empirical evidence on the benefits of evidence-based practices. The anticipated outcomes include improved patient recovery rates, enhanced patient satisfaction, and a more efficient and effective healthcare delivery system. Additionally, the research will offer valuable recommendations for nursing education and policy development, promoting a culture of continuous improvement and professional growth within the nursing community.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r>
      <w:r w:rsidDel="00000000" w:rsidR="00000000" w:rsidRPr="00000000">
        <w:rPr>
          <w:rFonts w:ascii="Arial" w:cs="Arial" w:eastAsia="Arial" w:hAnsi="Arial"/>
          <w:color w:val="000000"/>
          <w:sz w:val="24"/>
          <w:szCs w:val="24"/>
          <w:rtl w:val="0"/>
        </w:rPr>
        <w:t xml:space="preserve"> In conclusion, this research aims to underscore the critical role of evidence-based nursing practices in improving patient outcomes. By addressing the current gaps in practice and providing actionable insights, this study will support the advancement of nursing as a science and an art, ultimately leading to better healthcare for all.</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Keywords:</w:t>
      </w:r>
      <w:r w:rsidDel="00000000" w:rsidR="00000000" w:rsidRPr="00000000">
        <w:rPr>
          <w:rFonts w:ascii="Arial" w:cs="Arial" w:eastAsia="Arial" w:hAnsi="Arial"/>
          <w:color w:val="000000"/>
          <w:sz w:val="24"/>
          <w:szCs w:val="24"/>
          <w:rtl w:val="0"/>
        </w:rPr>
        <w:t xml:space="preserve"> Evidence-Based Nursing, Patient Outcomes, Nursing Interventions, Healthcare Quality, Patient Satisfaction, Nursing Education.</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4">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