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Medical Requisition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Clinic/Hospital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Requisition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Information: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 Provider: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Insurance Policy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 Information: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Test/Procedure Requisition Details:</w:t>
      </w:r>
    </w:p>
    <w:tbl>
      <w:tblPr>
        <w:tblStyle w:val="Table1"/>
        <w:tblW w:w="85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30"/>
        <w:gridCol w:w="2985"/>
        <w:gridCol w:w="1260"/>
        <w:gridCol w:w="1770"/>
        <w:gridCol w:w="1260"/>
        <w:tblGridChange w:id="0">
          <w:tblGrid>
            <w:gridCol w:w="1230"/>
            <w:gridCol w:w="2985"/>
            <w:gridCol w:w="1260"/>
            <w:gridCol w:w="1770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Test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Test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Urgency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Specimen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CBC (Complete Blood Count)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Routine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Blood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Lipid Profile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Urgent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Blood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MRI (Brain)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Routine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Information:</w:t>
        <w:br w:type="textWrapping"/>
        <w:t xml:space="preserve">Symptoms: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Diagnosis (if any):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Relevant Medical History: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Test/Procedure: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 ] Diagnostic</w:t>
        <w:br w:type="textWrapping"/>
        <w:t xml:space="preserve">[ ] Monitoring</w:t>
        <w:br w:type="textWrapping"/>
        <w:t xml:space="preserve">[ ] Pre-surgical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Physician's Authorization:</w:t>
        <w:br w:type="textWrapping"/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Lab Use Only:</w:t>
        <w:br w:type="textWrapping"/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Estimated Report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 or Special Instructions: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