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Accountant Resume for MNC Company</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John Doe</w:t>
        <w:br w:type="textWrapping"/>
      </w:r>
      <w:r w:rsidDel="00000000" w:rsidR="00000000" w:rsidRPr="00000000">
        <w:rPr>
          <w:rFonts w:ascii="Arial" w:cs="Arial" w:eastAsia="Arial" w:hAnsi="Arial"/>
          <w:color w:val="000000"/>
          <w:sz w:val="24"/>
          <w:szCs w:val="24"/>
          <w:rtl w:val="0"/>
        </w:rPr>
        <w:t xml:space="preserve">123 Maple Street</w:t>
        <w:br w:type="textWrapping"/>
        <w:t xml:space="preserve">New York, NY 10001</w:t>
        <w:br w:type="textWrapping"/>
        <w:t xml:space="preserve">(555) 123-4567</w:t>
        <w:br w:type="textWrapping"/>
        <w:t xml:space="preserve">john.doe@email.com</w:t>
        <w:br w:type="textWrapping"/>
        <w:t xml:space="preserve">LinkedIn Profile: linkedin.com/in/johndoe</w:t>
      </w:r>
    </w:p>
    <w:p w:rsidR="00000000" w:rsidDel="00000000" w:rsidP="00000000" w:rsidRDefault="00000000" w:rsidRPr="00000000" w14:paraId="00000005">
      <w:pPr>
        <w:pStyle w:val="Heading4"/>
        <w:keepNext w:val="0"/>
        <w:keepLines w:val="0"/>
        <w:spacing w:after="40" w:before="240" w:line="360" w:lineRule="auto"/>
        <w:rPr>
          <w:rFonts w:ascii="Arial" w:cs="Arial" w:eastAsia="Arial" w:hAnsi="Arial"/>
          <w:b w:val="1"/>
          <w:color w:val="000000"/>
          <w:u w:val="none"/>
        </w:rPr>
      </w:pPr>
      <w:bookmarkStart w:colFirst="0" w:colLast="0" w:name="_zbgepz8gqknt" w:id="0"/>
      <w:bookmarkEnd w:id="0"/>
      <w:r w:rsidDel="00000000" w:rsidR="00000000" w:rsidRPr="00000000">
        <w:rPr>
          <w:rFonts w:ascii="Arial" w:cs="Arial" w:eastAsia="Arial" w:hAnsi="Arial"/>
          <w:b w:val="1"/>
          <w:color w:val="000000"/>
          <w:u w:val="none"/>
          <w:rtl w:val="0"/>
        </w:rPr>
        <w:t xml:space="preserve">Objective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Highly motivated and results-driven accountant with over 5 years of experience in financial management and accounting within multinational settings. Proficient in handling complex accounting operations, compliance, and reporting across Europe and Asia. Seeking to bring expertise in financial analysis and strategic planning to IBM.</w:t>
      </w:r>
    </w:p>
    <w:p w:rsidR="00000000" w:rsidDel="00000000" w:rsidP="00000000" w:rsidRDefault="00000000" w:rsidRPr="00000000" w14:paraId="00000007">
      <w:pPr>
        <w:pStyle w:val="Heading4"/>
        <w:keepNext w:val="0"/>
        <w:keepLines w:val="0"/>
        <w:spacing w:after="40" w:before="240" w:line="360" w:lineRule="auto"/>
        <w:rPr>
          <w:rFonts w:ascii="Arial" w:cs="Arial" w:eastAsia="Arial" w:hAnsi="Arial"/>
          <w:b w:val="1"/>
          <w:color w:val="000000"/>
          <w:u w:val="none"/>
        </w:rPr>
      </w:pPr>
      <w:bookmarkStart w:colFirst="0" w:colLast="0" w:name="_ii0scqevzqef" w:id="1"/>
      <w:bookmarkEnd w:id="1"/>
      <w:r w:rsidDel="00000000" w:rsidR="00000000" w:rsidRPr="00000000">
        <w:rPr>
          <w:rFonts w:ascii="Arial" w:cs="Arial" w:eastAsia="Arial" w:hAnsi="Arial"/>
          <w:b w:val="1"/>
          <w:color w:val="000000"/>
          <w:u w:val="none"/>
          <w:rtl w:val="0"/>
        </w:rPr>
        <w:t xml:space="preserve">Professional Experience</w:t>
      </w:r>
    </w:p>
    <w:p w:rsidR="00000000" w:rsidDel="00000000" w:rsidP="00000000" w:rsidRDefault="00000000" w:rsidRPr="00000000" w14:paraId="00000008">
      <w:pPr>
        <w:spacing w:after="240" w:before="240" w:line="360" w:lineRule="auto"/>
        <w:rPr>
          <w:rFonts w:ascii="Arial" w:cs="Arial" w:eastAsia="Arial" w:hAnsi="Arial"/>
          <w:i w:val="1"/>
          <w:color w:val="000000"/>
          <w:sz w:val="24"/>
          <w:szCs w:val="24"/>
        </w:rPr>
      </w:pPr>
      <w:r w:rsidDel="00000000" w:rsidR="00000000" w:rsidRPr="00000000">
        <w:rPr>
          <w:rFonts w:ascii="Arial" w:cs="Arial" w:eastAsia="Arial" w:hAnsi="Arial"/>
          <w:b w:val="1"/>
          <w:color w:val="000000"/>
          <w:rtl w:val="0"/>
        </w:rPr>
        <w:t xml:space="preserve">Senior Accountant | ExxonMobil, New York, NY</w:t>
        <w:br w:type="textWrapping"/>
      </w:r>
      <w:r w:rsidDel="00000000" w:rsidR="00000000" w:rsidRPr="00000000">
        <w:rPr>
          <w:rFonts w:ascii="Arial" w:cs="Arial" w:eastAsia="Arial" w:hAnsi="Arial"/>
          <w:i w:val="1"/>
          <w:color w:val="000000"/>
          <w:sz w:val="24"/>
          <w:szCs w:val="24"/>
          <w:rtl w:val="0"/>
        </w:rPr>
        <w:t xml:space="preserve">January 2018 – Present</w:t>
      </w:r>
    </w:p>
    <w:p w:rsidR="00000000" w:rsidDel="00000000" w:rsidP="00000000" w:rsidRDefault="00000000" w:rsidRPr="00000000" w14:paraId="00000009">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Managed accounting operations, consolidation, and financial reporting for subsidiaries across Europe and Asia.</w:t>
      </w:r>
    </w:p>
    <w:p w:rsidR="00000000" w:rsidDel="00000000" w:rsidP="00000000" w:rsidRDefault="00000000" w:rsidRPr="00000000" w14:paraId="0000000A">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Led a team of 10 accountants in the preparation of annual financial statements in compliance with IFRS and GAAP.</w:t>
      </w:r>
    </w:p>
    <w:p w:rsidR="00000000" w:rsidDel="00000000" w:rsidP="00000000" w:rsidRDefault="00000000" w:rsidRPr="00000000" w14:paraId="0000000B">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Spearheaded the automation of invoice processing, reducing monthly processing time by 30% and increasing accuracy.</w:t>
      </w:r>
    </w:p>
    <w:p w:rsidR="00000000" w:rsidDel="00000000" w:rsidP="00000000" w:rsidRDefault="00000000" w:rsidRPr="00000000" w14:paraId="0000000C">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Collaborated with international teams in the UK and Singapore to implement cost-saving strategies, achieving a 15% reduction in operational expenses annually.</w:t>
      </w:r>
    </w:p>
    <w:p w:rsidR="00000000" w:rsidDel="00000000" w:rsidP="00000000" w:rsidRDefault="00000000" w:rsidRPr="00000000" w14:paraId="0000000D">
      <w:pPr>
        <w:spacing w:after="240" w:before="240" w:line="360" w:lineRule="auto"/>
        <w:rPr>
          <w:rFonts w:ascii="Arial" w:cs="Arial" w:eastAsia="Arial" w:hAnsi="Arial"/>
          <w:i w:val="1"/>
          <w:color w:val="000000"/>
          <w:sz w:val="24"/>
          <w:szCs w:val="24"/>
        </w:rPr>
      </w:pPr>
      <w:r w:rsidDel="00000000" w:rsidR="00000000" w:rsidRPr="00000000">
        <w:rPr>
          <w:rFonts w:ascii="Arial" w:cs="Arial" w:eastAsia="Arial" w:hAnsi="Arial"/>
          <w:b w:val="1"/>
          <w:color w:val="000000"/>
          <w:sz w:val="24"/>
          <w:szCs w:val="24"/>
          <w:rtl w:val="0"/>
        </w:rPr>
        <w:t xml:space="preserve">Accountant | Chevron, Houston, TX</w:t>
        <w:br w:type="textWrapping"/>
      </w:r>
      <w:r w:rsidDel="00000000" w:rsidR="00000000" w:rsidRPr="00000000">
        <w:rPr>
          <w:rFonts w:ascii="Arial" w:cs="Arial" w:eastAsia="Arial" w:hAnsi="Arial"/>
          <w:i w:val="1"/>
          <w:color w:val="000000"/>
          <w:sz w:val="24"/>
          <w:szCs w:val="24"/>
          <w:rtl w:val="0"/>
        </w:rPr>
        <w:t xml:space="preserve">June 2013 – December 2017</w:t>
      </w:r>
    </w:p>
    <w:p w:rsidR="00000000" w:rsidDel="00000000" w:rsidP="00000000" w:rsidRDefault="00000000" w:rsidRPr="00000000" w14:paraId="0000000E">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Conducted detailed variance analysis and financial forecasting as part of the financial planning and strategy team.</w:t>
      </w:r>
    </w:p>
    <w:p w:rsidR="00000000" w:rsidDel="00000000" w:rsidP="00000000" w:rsidRDefault="00000000" w:rsidRPr="00000000" w14:paraId="0000000F">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Assisted in tax preparations and ensured compliance with both U.S. and international tax regulations.</w:t>
      </w:r>
    </w:p>
    <w:p w:rsidR="00000000" w:rsidDel="00000000" w:rsidP="00000000" w:rsidRDefault="00000000" w:rsidRPr="00000000" w14:paraId="00000010">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Regularly interacted with external auditors to facilitate annual audits and maintain compliance with external financial reporting standards.</w:t>
      </w:r>
    </w:p>
    <w:p w:rsidR="00000000" w:rsidDel="00000000" w:rsidP="00000000" w:rsidRDefault="00000000" w:rsidRPr="00000000" w14:paraId="00000011">
      <w:pPr>
        <w:pStyle w:val="Heading4"/>
        <w:keepNext w:val="0"/>
        <w:keepLines w:val="0"/>
        <w:spacing w:after="40" w:before="240" w:line="360" w:lineRule="auto"/>
        <w:rPr>
          <w:rFonts w:ascii="Arial" w:cs="Arial" w:eastAsia="Arial" w:hAnsi="Arial"/>
          <w:b w:val="1"/>
          <w:color w:val="000000"/>
          <w:u w:val="none"/>
        </w:rPr>
      </w:pPr>
      <w:bookmarkStart w:colFirst="0" w:colLast="0" w:name="_olyie2o69jo" w:id="2"/>
      <w:bookmarkEnd w:id="2"/>
      <w:r w:rsidDel="00000000" w:rsidR="00000000" w:rsidRPr="00000000">
        <w:rPr>
          <w:rFonts w:ascii="Arial" w:cs="Arial" w:eastAsia="Arial" w:hAnsi="Arial"/>
          <w:b w:val="1"/>
          <w:color w:val="000000"/>
          <w:u w:val="none"/>
          <w:rtl w:val="0"/>
        </w:rPr>
        <w:t xml:space="preserve">Education</w:t>
      </w:r>
    </w:p>
    <w:p w:rsidR="00000000" w:rsidDel="00000000" w:rsidP="00000000" w:rsidRDefault="00000000" w:rsidRPr="00000000" w14:paraId="00000012">
      <w:pPr>
        <w:spacing w:after="240" w:before="240" w:line="36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University of Texas at Austin</w:t>
      </w:r>
    </w:p>
    <w:p w:rsidR="00000000" w:rsidDel="00000000" w:rsidP="00000000" w:rsidRDefault="00000000" w:rsidRPr="00000000" w14:paraId="00000013">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Bachelor of Science in Accounting</w:t>
      </w:r>
    </w:p>
    <w:p w:rsidR="00000000" w:rsidDel="00000000" w:rsidP="00000000" w:rsidRDefault="00000000" w:rsidRPr="00000000" w14:paraId="00000014">
      <w:pPr>
        <w:numPr>
          <w:ilvl w:val="0"/>
          <w:numId w:val="5"/>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Graduation Date:</w:t>
      </w:r>
      <w:r w:rsidDel="00000000" w:rsidR="00000000" w:rsidRPr="00000000">
        <w:rPr>
          <w:rFonts w:ascii="Arial" w:cs="Arial" w:eastAsia="Arial" w:hAnsi="Arial"/>
          <w:color w:val="000000"/>
          <w:sz w:val="24"/>
          <w:szCs w:val="24"/>
          <w:rtl w:val="0"/>
        </w:rPr>
        <w:t xml:space="preserve"> May 2013</w:t>
      </w:r>
    </w:p>
    <w:p w:rsidR="00000000" w:rsidDel="00000000" w:rsidP="00000000" w:rsidRDefault="00000000" w:rsidRPr="00000000" w14:paraId="00000015">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GPA:</w:t>
      </w:r>
      <w:r w:rsidDel="00000000" w:rsidR="00000000" w:rsidRPr="00000000">
        <w:rPr>
          <w:rFonts w:ascii="Arial" w:cs="Arial" w:eastAsia="Arial" w:hAnsi="Arial"/>
          <w:color w:val="000000"/>
          <w:sz w:val="24"/>
          <w:szCs w:val="24"/>
          <w:rtl w:val="0"/>
        </w:rPr>
        <w:t xml:space="preserve"> 3.8</w:t>
      </w:r>
    </w:p>
    <w:p w:rsidR="00000000" w:rsidDel="00000000" w:rsidP="00000000" w:rsidRDefault="00000000" w:rsidRPr="00000000" w14:paraId="00000016">
      <w:pPr>
        <w:pStyle w:val="Heading4"/>
        <w:keepNext w:val="0"/>
        <w:keepLines w:val="0"/>
        <w:spacing w:after="40" w:before="240" w:line="360" w:lineRule="auto"/>
        <w:rPr>
          <w:rFonts w:ascii="Arial" w:cs="Arial" w:eastAsia="Arial" w:hAnsi="Arial"/>
          <w:b w:val="1"/>
          <w:color w:val="000000"/>
          <w:u w:val="none"/>
        </w:rPr>
      </w:pPr>
      <w:bookmarkStart w:colFirst="0" w:colLast="0" w:name="_ted0iqk8t1bo" w:id="3"/>
      <w:bookmarkEnd w:id="3"/>
      <w:r w:rsidDel="00000000" w:rsidR="00000000" w:rsidRPr="00000000">
        <w:rPr>
          <w:rFonts w:ascii="Arial" w:cs="Arial" w:eastAsia="Arial" w:hAnsi="Arial"/>
          <w:b w:val="1"/>
          <w:color w:val="000000"/>
          <w:u w:val="none"/>
          <w:rtl w:val="0"/>
        </w:rPr>
        <w:t xml:space="preserve">Skills</w:t>
      </w:r>
    </w:p>
    <w:p w:rsidR="00000000" w:rsidDel="00000000" w:rsidP="00000000" w:rsidRDefault="00000000" w:rsidRPr="00000000" w14:paraId="00000017">
      <w:pPr>
        <w:numPr>
          <w:ilvl w:val="0"/>
          <w:numId w:val="7"/>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Technical Skills:</w:t>
      </w:r>
      <w:r w:rsidDel="00000000" w:rsidR="00000000" w:rsidRPr="00000000">
        <w:rPr>
          <w:rFonts w:ascii="Arial" w:cs="Arial" w:eastAsia="Arial" w:hAnsi="Arial"/>
          <w:color w:val="000000"/>
          <w:sz w:val="24"/>
          <w:szCs w:val="24"/>
          <w:rtl w:val="0"/>
        </w:rPr>
        <w:t xml:space="preserve"> Advanced proficiency in SAP, Oracle, and Microsoft Dynamics. Skilled in using ERP systems suitable for large-scale businesses.</w:t>
      </w:r>
    </w:p>
    <w:p w:rsidR="00000000" w:rsidDel="00000000" w:rsidP="00000000" w:rsidRDefault="00000000" w:rsidRPr="00000000" w14:paraId="00000018">
      <w:pPr>
        <w:numPr>
          <w:ilvl w:val="0"/>
          <w:numId w:val="7"/>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Analytical Skills:</w:t>
      </w:r>
      <w:r w:rsidDel="00000000" w:rsidR="00000000" w:rsidRPr="00000000">
        <w:rPr>
          <w:rFonts w:ascii="Arial" w:cs="Arial" w:eastAsia="Arial" w:hAnsi="Arial"/>
          <w:color w:val="000000"/>
          <w:sz w:val="24"/>
          <w:szCs w:val="24"/>
          <w:rtl w:val="0"/>
        </w:rPr>
        <w:t xml:space="preserve"> Expert in financial modeling, budgeting, and risk management.</w:t>
      </w:r>
    </w:p>
    <w:p w:rsidR="00000000" w:rsidDel="00000000" w:rsidP="00000000" w:rsidRDefault="00000000" w:rsidRPr="00000000" w14:paraId="00000019">
      <w:pPr>
        <w:numPr>
          <w:ilvl w:val="0"/>
          <w:numId w:val="7"/>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Communication Skills:</w:t>
      </w:r>
      <w:r w:rsidDel="00000000" w:rsidR="00000000" w:rsidRPr="00000000">
        <w:rPr>
          <w:rFonts w:ascii="Arial" w:cs="Arial" w:eastAsia="Arial" w:hAnsi="Arial"/>
          <w:color w:val="000000"/>
          <w:sz w:val="24"/>
          <w:szCs w:val="24"/>
          <w:rtl w:val="0"/>
        </w:rPr>
        <w:t xml:space="preserve"> Effective communicator with experience in presenting complex financial data to stakeholders at all levels.</w:t>
      </w:r>
    </w:p>
    <w:p w:rsidR="00000000" w:rsidDel="00000000" w:rsidP="00000000" w:rsidRDefault="00000000" w:rsidRPr="00000000" w14:paraId="0000001A">
      <w:pPr>
        <w:numPr>
          <w:ilvl w:val="0"/>
          <w:numId w:val="7"/>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Cross-Cultural Competency:</w:t>
      </w:r>
      <w:r w:rsidDel="00000000" w:rsidR="00000000" w:rsidRPr="00000000">
        <w:rPr>
          <w:rFonts w:ascii="Arial" w:cs="Arial" w:eastAsia="Arial" w:hAnsi="Arial"/>
          <w:color w:val="000000"/>
          <w:sz w:val="24"/>
          <w:szCs w:val="24"/>
          <w:rtl w:val="0"/>
        </w:rPr>
        <w:t xml:space="preserve"> Comfortable working in and managing teams from diverse cultural backgrounds.</w:t>
      </w:r>
    </w:p>
    <w:p w:rsidR="00000000" w:rsidDel="00000000" w:rsidP="00000000" w:rsidRDefault="00000000" w:rsidRPr="00000000" w14:paraId="0000001B">
      <w:pPr>
        <w:pStyle w:val="Heading4"/>
        <w:keepNext w:val="0"/>
        <w:keepLines w:val="0"/>
        <w:spacing w:after="40" w:before="240" w:line="360" w:lineRule="auto"/>
        <w:rPr>
          <w:rFonts w:ascii="Arial" w:cs="Arial" w:eastAsia="Arial" w:hAnsi="Arial"/>
          <w:b w:val="1"/>
          <w:color w:val="000000"/>
          <w:u w:val="none"/>
        </w:rPr>
      </w:pPr>
      <w:bookmarkStart w:colFirst="0" w:colLast="0" w:name="_ql352tm8fpx8" w:id="4"/>
      <w:bookmarkEnd w:id="4"/>
      <w:r w:rsidDel="00000000" w:rsidR="00000000" w:rsidRPr="00000000">
        <w:rPr>
          <w:rFonts w:ascii="Arial" w:cs="Arial" w:eastAsia="Arial" w:hAnsi="Arial"/>
          <w:b w:val="1"/>
          <w:color w:val="000000"/>
          <w:u w:val="none"/>
          <w:rtl w:val="0"/>
        </w:rPr>
        <w:t xml:space="preserve">Certifications</w:t>
      </w:r>
    </w:p>
    <w:p w:rsidR="00000000" w:rsidDel="00000000" w:rsidP="00000000" w:rsidRDefault="00000000" w:rsidRPr="00000000" w14:paraId="0000001C">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Certified Public Accountant (CPA)</w:t>
      </w:r>
    </w:p>
    <w:p w:rsidR="00000000" w:rsidDel="00000000" w:rsidP="00000000" w:rsidRDefault="00000000" w:rsidRPr="00000000" w14:paraId="0000001D">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Chartered Global Management Accountant (CGMA)</w:t>
      </w:r>
    </w:p>
    <w:p w:rsidR="00000000" w:rsidDel="00000000" w:rsidP="00000000" w:rsidRDefault="00000000" w:rsidRPr="00000000" w14:paraId="0000001E">
      <w:pPr>
        <w:pStyle w:val="Heading4"/>
        <w:keepNext w:val="0"/>
        <w:keepLines w:val="0"/>
        <w:spacing w:after="40" w:before="240" w:line="360" w:lineRule="auto"/>
        <w:rPr>
          <w:rFonts w:ascii="Arial" w:cs="Arial" w:eastAsia="Arial" w:hAnsi="Arial"/>
          <w:b w:val="1"/>
          <w:color w:val="000000"/>
          <w:u w:val="none"/>
        </w:rPr>
      </w:pPr>
      <w:bookmarkStart w:colFirst="0" w:colLast="0" w:name="_gdfikojsvela" w:id="5"/>
      <w:bookmarkEnd w:id="5"/>
      <w:r w:rsidDel="00000000" w:rsidR="00000000" w:rsidRPr="00000000">
        <w:rPr>
          <w:rFonts w:ascii="Arial" w:cs="Arial" w:eastAsia="Arial" w:hAnsi="Arial"/>
          <w:b w:val="1"/>
          <w:color w:val="000000"/>
          <w:u w:val="none"/>
          <w:rtl w:val="0"/>
        </w:rPr>
        <w:t xml:space="preserve">Professional Affiliations</w:t>
      </w:r>
    </w:p>
    <w:p w:rsidR="00000000" w:rsidDel="00000000" w:rsidP="00000000" w:rsidRDefault="00000000" w:rsidRPr="00000000" w14:paraId="0000001F">
      <w:pPr>
        <w:numPr>
          <w:ilvl w:val="0"/>
          <w:numId w:val="2"/>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rtl w:val="0"/>
        </w:rPr>
        <w:t xml:space="preserve">Member, Association of Chartered Certified Accountants (ACCA)</w:t>
      </w:r>
    </w:p>
    <w:p w:rsidR="00000000" w:rsidDel="00000000" w:rsidP="00000000" w:rsidRDefault="00000000" w:rsidRPr="00000000" w14:paraId="00000020">
      <w:pPr>
        <w:pStyle w:val="Heading4"/>
        <w:keepNext w:val="0"/>
        <w:keepLines w:val="0"/>
        <w:spacing w:after="40" w:before="240" w:line="360" w:lineRule="auto"/>
        <w:rPr>
          <w:rFonts w:ascii="Arial" w:cs="Arial" w:eastAsia="Arial" w:hAnsi="Arial"/>
          <w:b w:val="1"/>
          <w:color w:val="000000"/>
          <w:u w:val="none"/>
        </w:rPr>
      </w:pPr>
      <w:bookmarkStart w:colFirst="0" w:colLast="0" w:name="_xy9cf5pvdcg2" w:id="6"/>
      <w:bookmarkEnd w:id="6"/>
      <w:r w:rsidDel="00000000" w:rsidR="00000000" w:rsidRPr="00000000">
        <w:rPr>
          <w:rFonts w:ascii="Arial" w:cs="Arial" w:eastAsia="Arial" w:hAnsi="Arial"/>
          <w:b w:val="1"/>
          <w:color w:val="000000"/>
          <w:u w:val="none"/>
          <w:rtl w:val="0"/>
        </w:rPr>
        <w:t xml:space="preserve">Languages</w:t>
      </w:r>
    </w:p>
    <w:p w:rsidR="00000000" w:rsidDel="00000000" w:rsidP="00000000" w:rsidRDefault="00000000" w:rsidRPr="00000000" w14:paraId="00000021">
      <w:pPr>
        <w:numPr>
          <w:ilvl w:val="0"/>
          <w:numId w:val="8"/>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Fluent in English and Mandarin – Professional working proficiency.</w:t>
      </w:r>
    </w:p>
    <w:p w:rsidR="00000000" w:rsidDel="00000000" w:rsidP="00000000" w:rsidRDefault="00000000" w:rsidRPr="00000000" w14:paraId="00000022">
      <w:pPr>
        <w:pStyle w:val="Heading4"/>
        <w:keepNext w:val="0"/>
        <w:keepLines w:val="0"/>
        <w:spacing w:after="40" w:before="240" w:line="360" w:lineRule="auto"/>
        <w:rPr>
          <w:rFonts w:ascii="Arial" w:cs="Arial" w:eastAsia="Arial" w:hAnsi="Arial"/>
          <w:b w:val="1"/>
          <w:color w:val="000000"/>
          <w:u w:val="none"/>
        </w:rPr>
      </w:pPr>
      <w:bookmarkStart w:colFirst="0" w:colLast="0" w:name="_efo8g3r10ylp" w:id="7"/>
      <w:bookmarkEnd w:id="7"/>
      <w:r w:rsidDel="00000000" w:rsidR="00000000" w:rsidRPr="00000000">
        <w:rPr>
          <w:rFonts w:ascii="Arial" w:cs="Arial" w:eastAsia="Arial" w:hAnsi="Arial"/>
          <w:b w:val="1"/>
          <w:color w:val="000000"/>
          <w:u w:val="none"/>
          <w:rtl w:val="0"/>
        </w:rPr>
        <w:t xml:space="preserve">Additional Information</w:t>
      </w:r>
    </w:p>
    <w:p w:rsidR="00000000" w:rsidDel="00000000" w:rsidP="00000000" w:rsidRDefault="00000000" w:rsidRPr="00000000" w14:paraId="00000023">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Participated in leadership training designed for international finance professionals.</w:t>
      </w:r>
    </w:p>
    <w:p w:rsidR="00000000" w:rsidDel="00000000" w:rsidP="00000000" w:rsidRDefault="00000000" w:rsidRPr="00000000" w14:paraId="00000024">
      <w:pPr>
        <w:numPr>
          <w:ilvl w:val="0"/>
          <w:numId w:val="6"/>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Regular attendee of global financial conferences to stay updated with industry trends and advancements.</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