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Heading2"/>
        <w:spacing w:after="80" w:before="360" w:line="240" w:lineRule="auto"/>
        <w:jc w:val="center"/>
        <w:rPr>
          <w:rFonts w:ascii="Roboto" w:cs="Roboto" w:eastAsia="Roboto" w:hAnsi="Roboto"/>
          <w:color w:val="351c75"/>
          <w:sz w:val="60"/>
          <w:szCs w:val="60"/>
        </w:rPr>
      </w:pPr>
      <w:bookmarkStart w:colFirst="0" w:colLast="0" w:name="_qf9jagtvsuwr" w:id="0"/>
      <w:bookmarkEnd w:id="0"/>
      <w:r w:rsidDel="00000000" w:rsidR="00000000" w:rsidRPr="00000000">
        <w:rPr>
          <w:rFonts w:ascii="Roboto" w:cs="Roboto" w:eastAsia="Roboto" w:hAnsi="Roboto"/>
          <w:b w:val="1"/>
          <w:color w:val="351c75"/>
          <w:sz w:val="60"/>
          <w:szCs w:val="60"/>
          <w:rtl w:val="0"/>
        </w:rPr>
        <w:t xml:space="preserve">Holiday Letter To Teacher</w:t>
      </w: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12"/>
          <w:szCs w:val="12"/>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Jane Smith</w:t>
        <w:br w:type="textWrapping"/>
        <w:t xml:space="preserve">1234 Maple Street</w:t>
        <w:br w:type="textWrapping"/>
        <w:t xml:space="preserve">Springfield, IL 62704</w:t>
        <w:br w:type="textWrapping"/>
        <w:t xml:space="preserve">janesmith@email.com</w:t>
        <w:br w:type="textWrapping"/>
        <w:t xml:space="preserve">555-678-9012</w:t>
        <w:br w:type="textWrapping"/>
        <w:t xml:space="preserve">December 5, 2024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Mrs. Johnson,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the holiday season draws near, I want to take a moment to express my appreciation for all the dedication and effort you have put into this school year. Your passion for teaching and commitment to your students' success have not only enhanced their learning experience but have also inspired them daily.</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holidays are a time of joy and giving, and I cannot think of a more deserving recipient of good wishes than you. Thank you for your tireless support and for the positive impact you continue to have on our children. May this holiday season bring you much deserved rest and happiness.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Enjoy your well-earned break, and here’s to a fantastic upcoming new year filled with more joyful teaching and learning moments!</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Warmest regards,</w:t>
      </w:r>
    </w:p>
    <w:p w:rsidR="00000000" w:rsidDel="00000000" w:rsidP="00000000" w:rsidRDefault="00000000" w:rsidRPr="00000000" w14:paraId="0000000A">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Jane Smith</w:t>
      </w:r>
    </w:p>
    <w:sectPr>
      <w:headerReference r:id="rId7" w:type="default"/>
      <w:headerReference r:id="rId8" w:type="firs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