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31c6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31c60"/>
          <w:sz w:val="60"/>
          <w:szCs w:val="60"/>
          <w:rtl w:val="0"/>
        </w:rPr>
        <w:t xml:space="preserve">ServiceNow Employee Profile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General Information: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User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SN123456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Official 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jane.doe@company.com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+1 555-0123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Senior Analyst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Business Analytics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Chicago Office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Smith (SN654321)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Details: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Full-Time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Hire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01/04/2018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End Date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N/A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Status: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Active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Security Roles: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User Roles: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[Business Analyst, HR User]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Access Level: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 access to Business Analytics tools, limited access to HR management systems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Performance and Reviews: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Last Performance Review: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15/03/2023 - Exceeded Expectations in Project Delivery and Team Leadership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Upcoming Review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15/03/2024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and Development: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Completed Trainings: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Advanced Excel for Analysts, SQL Fundamentals, Leadership Training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Scheduled Trainings: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Python for Data Analysis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IT Assets: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Assigned Equipment: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Dell Latitude 5420, iPhone 12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Software Licenses: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Microsoft Office Suite, Tableau Desktop Professional, Salesforce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Notes and Comments: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Special Instructions: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hardware requests must be processed through IT department using standard request form.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HR 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Eligible for next leadership role consideration in Q4 2024.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