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45f06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45f06"/>
          <w:sz w:val="60"/>
          <w:szCs w:val="60"/>
          <w:rtl w:val="0"/>
        </w:rPr>
        <w:t xml:space="preserve">Attendance List After Meeting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178iyslp3si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Post-Meeting Attendance List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Meeting Title:</w:t>
        <w:br w:type="textWrapping"/>
        <w:t xml:space="preserve">Date:</w:t>
        <w:br w:type="textWrapping"/>
        <w:t xml:space="preserve">Time:</w:t>
        <w:br w:type="textWrapping"/>
        <w:t xml:space="preserve">Location:</w:t>
        <w:br w:type="textWrapping"/>
        <w:t xml:space="preserve">Hosted By:</w:t>
      </w:r>
    </w:p>
    <w:tbl>
      <w:tblPr>
        <w:tblStyle w:val="Table1"/>
        <w:tblW w:w="5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0"/>
        <w:gridCol w:w="1595"/>
        <w:gridCol w:w="2000"/>
        <w:gridCol w:w="1220"/>
        <w:tblGridChange w:id="0">
          <w:tblGrid>
            <w:gridCol w:w="590"/>
            <w:gridCol w:w="1595"/>
            <w:gridCol w:w="2000"/>
            <w:gridCol w:w="12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Department/Role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John Doe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Marketing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Jane Smith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Alice Johnson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Chris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Meeting Notes: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Key decisions made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Action items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Other relevant observations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Instructions: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each participant's number and name under the respective columns.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Specify each participant's department or role within the organization.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space for signatures if required, to confirm attendance or agreement with the meeting outcomes.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