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Roboto" w:cs="Roboto" w:eastAsia="Roboto" w:hAnsi="Roboto"/>
          <w:color w:val="404040"/>
          <w:sz w:val="60"/>
          <w:szCs w:val="60"/>
        </w:rPr>
      </w:pPr>
      <w:bookmarkStart w:colFirst="0" w:colLast="0" w:name="_kk1966kbedef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Academic CV For PHD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John D. Applicant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john.d.applicant@example.com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(123) 456-7890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LinkedIn: linkedin.com/in/johndapplicant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123 Scholar Lane, Academia City, ST 01234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Aspiring to contribute to groundbreaking research in Environmental Microbiology, particularly in the study of microbe-mineral interactions and their applications in bioremediation. Seeking to join XYZ University's PhD program to further develop my research skills under the guidance of esteemed faculty.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Master of Science in Environmental Science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State University, Anytown, AT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Graduation Year: 2023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Thesis: “Impact of Microbial Processes on Arsenic Mobilization in Wetlands”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Advisor: Dr. Jane Smith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GPA: 3.9/4.0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Bachelor of Science in Biology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Liberal Arts College, Othertown, OT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Graduation Year: 2021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Capstone Project: “Evaluating Bioaugmentation Techniques for Improved Water Quality”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GPA: 3.75/4.0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Research Assistant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 of Environmental Microbiology, State University, Anytown, AT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September 2021 - August 2023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Responsibilities: Conducted field and laboratory experiments to study the effects of bacterial interactions with heavy metals in wetlands.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Projects: Led a project that identified novel bacterial strains capable of arsenic reduction, resulting in a 20% increase in bioremediation efficiency.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Teaching Assistant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Department of Biology, Course: Introductory Microbiology, State University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Fall 2022 - Spring 2023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Duties: Assisted in laboratory and lecture sessions, prepared teaching materials, graded assignments, and held office hours for student support.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Applicant, J.D., Smith, J.</w:t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“Innovative Strategies in Arsenic Bioremediation,” Journal of Environmental Science, Vol. 15, pp. 234-245, 2023</w:t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Summary: This paper discusses innovative biotechnological approaches for arsenic removal in wetlands, highlighting the efficiency of newly discovered bacterial strains.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CONFERENCE PRESENTATIONS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“Microbial Arsenic Transformation in Wetlands”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Annual Conference on Microbial Ecology, New City, NC, March 2023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Summary: Presented findings from recent research on arsenic biotransformation, which was well-received and sparked collaborative discussions.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AWARDS AND HONORS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Graduate Research Fellowship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State University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Received 2022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Description: Awarded for exceptional research proposal on environmental microbiology.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SKILLS AND TECHNICAL PROFICIENCIES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Laboratory Techniques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PCR, Gel Electrophoresis, Microbial Culturing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Software Proficiency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MATLAB, R, Python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American Society for Microbiology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2021 - Present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Dr. Jane Smith, Professor and Research Advisor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jsmith@stateuniversity.edu | Phone: (123) 555-6789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Relation: Thesis Advisor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5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2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3" name="image2.png"/>
          <a:graphic>
            <a:graphicData uri="http://schemas.openxmlformats.org/drawingml/2006/picture">
              <pic:pic>
                <pic:nvPicPr>
                  <pic:cNvPr descr="short lin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1" name="image3.png"/>
          <a:graphic>
            <a:graphicData uri="http://schemas.openxmlformats.org/drawingml/2006/picture">
              <pic:pic>
                <pic:nvPicPr>
                  <pic:cNvPr descr="short lin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4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Relationship Id="rId3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