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="240" w:lineRule="auto"/>
        <w:jc w:val="center"/>
        <w:rPr>
          <w:rFonts w:ascii="Georgia" w:cs="Georgia" w:eastAsia="Georgia" w:hAnsi="Georgia"/>
          <w:color w:val="274e13"/>
          <w:sz w:val="60"/>
          <w:szCs w:val="60"/>
          <w:u w:val="single"/>
        </w:rPr>
      </w:pPr>
      <w:bookmarkStart w:colFirst="0" w:colLast="0" w:name="_jq9daztieftx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274e13"/>
          <w:sz w:val="60"/>
          <w:szCs w:val="60"/>
          <w:u w:val="single"/>
          <w:rtl w:val="0"/>
        </w:rPr>
        <w:t xml:space="preserve">Travel Agency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after="80" w:before="280" w:line="288" w:lineRule="auto"/>
        <w:rPr>
          <w:rFonts w:ascii="Open Sans" w:cs="Open Sans" w:eastAsia="Open Sans" w:hAnsi="Open Sans"/>
          <w:b w:val="1"/>
          <w:color w:val="434343"/>
          <w:sz w:val="18"/>
          <w:szCs w:val="18"/>
        </w:rPr>
      </w:pPr>
      <w:bookmarkStart w:colFirst="0" w:colLast="0" w:name="_8br9qdot7dk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bookmarkStart w:colFirst="0" w:colLast="0" w:name="_8wqiiamcxpxp" w:id="2"/>
      <w:bookmarkEnd w:id="2"/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Travel Agency Annual Budget for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Agency Name: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Global Adventures LLC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  <w:u w:val="none"/>
        </w:rPr>
      </w:pPr>
      <w:bookmarkStart w:colFirst="0" w:colLast="0" w:name="_zfaaqqfbyt2n" w:id="3"/>
      <w:bookmarkEnd w:id="3"/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u w:val="none"/>
          <w:rtl w:val="0"/>
        </w:rPr>
        <w:t xml:space="preserve">Revenue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Sales of Travel Packages: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$500,000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Commission from Bookings (Flights, Hotels, Tours):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$150,000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Travel Insurance Sales: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$30,000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Other Income (e.g., visa processing fees, travel consultancy fees):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$20,000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Total Revenue: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$700,000</w:t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  <w:u w:val="none"/>
        </w:rPr>
      </w:pPr>
      <w:bookmarkStart w:colFirst="0" w:colLast="0" w:name="_sdy1f46wi6jw" w:id="4"/>
      <w:bookmarkEnd w:id="4"/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u w:val="none"/>
          <w:rtl w:val="0"/>
        </w:rPr>
        <w:t xml:space="preserve">Expenses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Staff Salaries and Wages: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$250,000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Office Rent: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$48,000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Utilities (Electricity, Water, Internet):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$12,000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Marketing and Advertising: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$60,000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Digital Marketing: $30,000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Print and Media Advertising: $15,000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Promotional Events: $15,000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Travel Software Subscription (CRM, Booking System):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$18,000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Website Maintenance: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$10,000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Insurance: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$5,000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Professional Fees (Legal, Accounting):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$7,000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Office Supplies and Equipment: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$3,000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Employee Training and Development: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$15,000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Travel Expenses for Familiarization Trips: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$25,000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Miscellaneous Expenses: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$5,000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Total Expenses: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$458,000</w:t>
      </w:r>
    </w:p>
    <w:p w:rsidR="00000000" w:rsidDel="00000000" w:rsidP="00000000" w:rsidRDefault="00000000" w:rsidRPr="00000000" w14:paraId="0000001D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  <w:u w:val="none"/>
        </w:rPr>
      </w:pPr>
      <w:bookmarkStart w:colFirst="0" w:colLast="0" w:name="_hqmqf2bbauzl" w:id="5"/>
      <w:bookmarkEnd w:id="5"/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u w:val="none"/>
          <w:rtl w:val="0"/>
        </w:rPr>
        <w:t xml:space="preserve">Net Profit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24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Net Profit (Total Revenue - Total Expenses):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$242,000</w:t>
      </w:r>
    </w:p>
    <w:p w:rsidR="00000000" w:rsidDel="00000000" w:rsidP="00000000" w:rsidRDefault="00000000" w:rsidRPr="00000000" w14:paraId="0000001F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  <w:u w:val="none"/>
        </w:rPr>
      </w:pPr>
      <w:bookmarkStart w:colFirst="0" w:colLast="0" w:name="_jz04du5ahak3" w:id="6"/>
      <w:bookmarkEnd w:id="6"/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u w:val="none"/>
          <w:rtl w:val="0"/>
        </w:rPr>
        <w:t xml:space="preserve">Budget Notes and Assumptions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Sales Projections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are optimistic, based on expanding our digital marketing efforts and launching new, exclusive travel packages targeting luxury and adventure travel markets.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Expense Projections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account for a planned 5% increase in staff wages and a strategic investment in marketing to drive sales growth.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Marketing and Advertising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funds are heavily allocated towards digital channels, including social media and search engine marketing, to target millennials and Gen Z travelers, who are our fastest-growing customer segments.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Travel Software Subscription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includes a new booking system that offers better integration with supplier systems, aiming to improve operational efficiency.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Website Maintenance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is higher this year due to a major redesign project aimed at improving user experience and incorporating AI chat support.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Employee Training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will focus on destination knowledge for emerging travel markets and sales techniques to improve conversion rates.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Familiarization Trips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are planned for new destinations in Southeast Asia and South America, expanding our portfolio and ensuring our travel consultants have firsthand experience to share with clients.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